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Times New Roman"/>
          <w:sz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381000</wp:posOffset>
            </wp:positionH>
            <wp:positionV relativeFrom="page">
              <wp:posOffset>247650</wp:posOffset>
            </wp:positionV>
            <wp:extent cx="7255510" cy="10387330"/>
            <wp:effectExtent l="0" t="0" r="2540" b="139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510" cy="1038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pStyle w:val="4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-175895</wp:posOffset>
                </wp:positionV>
                <wp:extent cx="457200" cy="128016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4pt;margin-top:-13.85pt;height:100.8pt;width:36pt;z-index:251670528;mso-width-relative:page;mso-height-relative:page;" fillcolor="#FFFFFF" filled="t" stroked="f" coordsize="21600,21600" o:allowincell="f" o:gfxdata="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hlTsnYAAAACwEAAA8AAAAAAAAAAQAgAAAAIgAA&#10;AGRycy9kb3ducmV2LnhtbFBLAQIUABQAAAAIAIdO4kBKkjzLlgEAACgDAAAOAAAAAAAAAAEAIAAA&#10;ACcBAABkcnMvZTJvRG9jLnhtbFBLBQYAAAAABgAGAFkBAAA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-84455</wp:posOffset>
                </wp:positionV>
                <wp:extent cx="1259840" cy="1196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object>
                                <v:shape id="_x0000_i1025" o:spt="75" type="#_x0000_t75" style="height:86.95pt;width:84.7pt;" o:ole="t" fillcolor="#000011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Picture.8" ShapeID="_x0000_i1025" DrawAspect="Content" ObjectID="_1468075725" r:id="rId5">
                                  <o:LockedField>false</o:LockedField>
                                </o:OLEObject>
                              </w:object>
                            </w:r>
                            <w:r>
                              <w:object>
                                <v:shape id="_x0000_i1026" o:spt="75" type="#_x0000_t75" style="height:86.95pt;width:84.7pt;" o:ole="t" fillcolor="#000011" filled="f" o:preferrelative="t" stroked="f" coordsize="21600,21600">
                                  <v:path/>
                                  <v:fill on="f" focussize="0,0"/>
                                  <v:stroke on="f"/>
                                  <v:imagedata r:id="rId6" o:title=""/>
                                  <o:lock v:ext="edit" aspectratio="t"/>
                                  <w10:wrap type="none"/>
                                  <w10:anchorlock/>
                                </v:shape>
                                <o:OLEObject Type="Embed" ProgID="Word.Picture.8" ShapeID="_x0000_i1026" DrawAspect="Content" ObjectID="_1468075726" r:id="rId7">
                                  <o:LockedField>false</o:LockedField>
                                </o:OLEObject>
                              </w:objec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0pt;margin-top:-6.65pt;height:94.25pt;width:99.2pt;z-index:251669504;mso-width-relative:page;mso-height-relative:page;" filled="f" stroked="f" coordsize="21600,21600" o:allowincell="f" o:gfxdata="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object>
                          <v:shape id="_x0000_i1025" o:spt="75" type="#_x0000_t75" style="height:86.95pt;width:84.7pt;" o:ole="t" fillcolor="#000011" filled="f" o:preferrelative="t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Picture.8" ShapeID="_x0000_i1025" DrawAspect="Content" ObjectID="_1468075727" r:id="rId8">
                            <o:LockedField>false</o:LockedField>
                          </o:OLEObject>
                        </w:object>
                      </w:r>
                      <w:r>
                        <w:object>
                          <v:shape id="_x0000_i1026" o:spt="75" type="#_x0000_t75" style="height:86.95pt;width:84.7pt;" o:ole="t" fillcolor="#000011" filled="f" o:preferrelative="t" stroked="f" coordsize="21600,21600">
                            <v:path/>
                            <v:fill on="f" focussize="0,0"/>
                            <v:stroke on="f"/>
                            <v:imagedata r:id="rId6" o:title=""/>
                            <o:lock v:ext="edit" aspectratio="t"/>
                            <w10:wrap type="none"/>
                            <w10:anchorlock/>
                          </v:shape>
                          <o:OLEObject Type="Embed" ProgID="Word.Picture.8" ShapeID="_x0000_i1026" DrawAspect="Content" ObjectID="_1468075728" r:id="rId9">
                            <o:LockedField>false</o:LockedField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DNEVNI CENTAR ZA REHABILITACIJU</w:t>
      </w:r>
    </w:p>
    <w:p>
      <w:pPr>
        <w:pStyle w:val="4"/>
        <w:rPr>
          <w:b/>
        </w:rPr>
      </w:pPr>
      <w:r>
        <w:rPr>
          <w:b/>
        </w:rPr>
        <w:t>VERUDA - PULA</w:t>
      </w:r>
    </w:p>
    <w:p>
      <w:pPr>
        <w:pStyle w:val="4"/>
        <w:rPr>
          <w:sz w:val="8"/>
        </w:rPr>
      </w:pPr>
    </w:p>
    <w:p>
      <w:pPr>
        <w:pStyle w:val="4"/>
      </w:pPr>
      <w:r>
        <w:rPr>
          <w:rFonts w:hint="default"/>
          <w:lang w:val="hr-HR"/>
        </w:rPr>
        <w:t>Vidikovac 7</w:t>
      </w:r>
      <w:r>
        <w:t>, Pula</w:t>
      </w:r>
    </w:p>
    <w:p>
      <w:pPr>
        <w:pStyle w:val="4"/>
      </w:pPr>
      <w:r>
        <w:t>OIB 65555762680</w:t>
      </w:r>
    </w:p>
    <w:p>
      <w:pPr>
        <w:pStyle w:val="4"/>
        <w:rPr>
          <w:rFonts w:hint="default"/>
          <w:lang w:val="hr-HR"/>
        </w:rPr>
      </w:pPr>
      <w:r>
        <w:rPr>
          <w:rFonts w:hint="default"/>
          <w:lang w:val="hr-HR"/>
        </w:rPr>
        <w:t>RKPD: 35011</w:t>
      </w:r>
    </w:p>
    <w:p>
      <w:pPr>
        <w:pStyle w:val="4"/>
        <w:rPr>
          <w:rFonts w:hint="default"/>
          <w:lang w:val="hr-HR"/>
        </w:rPr>
      </w:pPr>
      <w:r>
        <w:t>Tel/fax 052/223-594</w:t>
      </w:r>
    </w:p>
    <w:p>
      <w:pPr>
        <w:pStyle w:val="4"/>
      </w:pPr>
      <w:r>
        <w:rPr>
          <w:rFonts w:hint="default"/>
          <w:lang w:val="hr-HR"/>
        </w:rPr>
        <w:t>e</w:t>
      </w:r>
      <w:r>
        <w:rPr>
          <w:lang w:val="de-DE"/>
        </w:rPr>
        <w:t>-mail info.dczr@gmail.com</w:t>
      </w:r>
    </w:p>
    <w:p>
      <w:pPr>
        <w:spacing w:line="0" w:lineRule="atLeast"/>
        <w:ind w:left="360"/>
        <w:rPr>
          <w:rFonts w:ascii="Times New Roman" w:hAnsi="Times New Roman" w:eastAsia="Times New Roman"/>
          <w:i/>
          <w:iCs/>
          <w:sz w:val="32"/>
        </w:rPr>
      </w:pPr>
    </w:p>
    <w:p>
      <w:pPr>
        <w:spacing w:line="0" w:lineRule="atLeast"/>
        <w:ind w:left="360"/>
        <w:rPr>
          <w:rFonts w:ascii="Times New Roman" w:hAnsi="Times New Roman" w:eastAsia="Times New Roman"/>
          <w:i/>
          <w:iCs/>
          <w:sz w:val="32"/>
        </w:rPr>
      </w:pPr>
    </w:p>
    <w:p>
      <w:pPr>
        <w:spacing w:line="54" w:lineRule="exact"/>
        <w:rPr>
          <w:rFonts w:ascii="Times New Roman" w:hAnsi="Times New Roman" w:eastAsia="Times New Roman"/>
          <w:i/>
          <w:iCs/>
          <w:sz w:val="24"/>
        </w:rPr>
      </w:pPr>
    </w:p>
    <w:p>
      <w:pPr>
        <w:spacing w:line="0" w:lineRule="atLeast"/>
        <w:ind w:left="360"/>
        <w:rPr>
          <w:rFonts w:ascii="Times New Roman" w:hAnsi="Times New Roman" w:eastAsia="Times New Roman"/>
          <w:i w:val="0"/>
          <w:iCs w:val="0"/>
          <w:sz w:val="24"/>
          <w:szCs w:val="24"/>
        </w:rPr>
      </w:pPr>
      <w:r>
        <w:rPr>
          <w:rFonts w:ascii="Times New Roman" w:hAnsi="Times New Roman" w:eastAsia="Times New Roman"/>
          <w:i w:val="0"/>
          <w:iCs w:val="0"/>
          <w:sz w:val="24"/>
          <w:szCs w:val="24"/>
        </w:rPr>
        <w:t xml:space="preserve">Urbroj: </w:t>
      </w:r>
      <w:r>
        <w:rPr>
          <w:rFonts w:hint="default"/>
          <w:i w:val="0"/>
          <w:iCs w:val="0"/>
          <w:sz w:val="24"/>
          <w:szCs w:val="24"/>
          <w:lang w:val="hr-HR"/>
        </w:rPr>
        <w:t>154-01-1/20</w:t>
      </w:r>
    </w:p>
    <w:p>
      <w:pPr>
        <w:spacing w:line="54" w:lineRule="exact"/>
        <w:rPr>
          <w:rFonts w:ascii="Times New Roman" w:hAnsi="Times New Roman" w:eastAsia="Times New Roman"/>
          <w:i w:val="0"/>
          <w:iCs w:val="0"/>
          <w:sz w:val="24"/>
          <w:szCs w:val="24"/>
        </w:rPr>
      </w:pPr>
    </w:p>
    <w:p>
      <w:pPr>
        <w:spacing w:line="0" w:lineRule="atLeast"/>
        <w:ind w:left="360"/>
        <w:rPr>
          <w:rFonts w:ascii="Times New Roman" w:hAnsi="Times New Roman" w:eastAsia="Times New Roman"/>
          <w:i w:val="0"/>
          <w:iCs w:val="0"/>
          <w:sz w:val="24"/>
        </w:rPr>
      </w:pPr>
      <w:r>
        <w:rPr>
          <w:rFonts w:ascii="Times New Roman" w:hAnsi="Times New Roman" w:eastAsia="Times New Roman"/>
          <w:i w:val="0"/>
          <w:iCs w:val="0"/>
          <w:sz w:val="24"/>
          <w:szCs w:val="24"/>
        </w:rPr>
        <w:t xml:space="preserve">Pula, </w:t>
      </w:r>
      <w:r>
        <w:rPr>
          <w:rFonts w:hint="default"/>
          <w:i w:val="0"/>
          <w:iCs w:val="0"/>
          <w:sz w:val="24"/>
          <w:szCs w:val="24"/>
          <w:lang w:val="hr-HR"/>
        </w:rPr>
        <w:t>31.01.2020</w:t>
      </w:r>
    </w:p>
    <w:p>
      <w:pPr>
        <w:spacing w:line="200" w:lineRule="exact"/>
        <w:rPr>
          <w:rFonts w:ascii="Times New Roman" w:hAnsi="Times New Roman" w:eastAsia="Times New Roman"/>
          <w:i/>
          <w:iCs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89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53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620"/>
        <w:rPr>
          <w:rFonts w:ascii="Times New Roman" w:hAnsi="Times New Roman" w:eastAsia="Times New Roman"/>
          <w:b/>
          <w:i w:val="0"/>
          <w:iCs/>
          <w:sz w:val="43"/>
        </w:rPr>
      </w:pPr>
      <w:r>
        <w:rPr>
          <w:rFonts w:ascii="Times New Roman" w:hAnsi="Times New Roman" w:eastAsia="Times New Roman"/>
          <w:b/>
          <w:i w:val="0"/>
          <w:iCs/>
          <w:sz w:val="43"/>
        </w:rPr>
        <w:t>Bilješke uz financijski izvještaj za razdoblje od</w:t>
      </w:r>
    </w:p>
    <w:p>
      <w:pPr>
        <w:spacing w:line="239" w:lineRule="auto"/>
        <w:ind w:left="1120"/>
        <w:rPr>
          <w:rFonts w:ascii="Times New Roman" w:hAnsi="Times New Roman" w:eastAsia="Times New Roman"/>
          <w:b/>
          <w:i w:val="0"/>
          <w:iCs/>
          <w:sz w:val="44"/>
        </w:rPr>
      </w:pPr>
      <w:r>
        <w:rPr>
          <w:rFonts w:ascii="Times New Roman" w:hAnsi="Times New Roman" w:eastAsia="Times New Roman"/>
          <w:b/>
          <w:i w:val="0"/>
          <w:iCs/>
          <w:sz w:val="44"/>
        </w:rPr>
        <w:t>01. siječnja do 3</w:t>
      </w:r>
      <w:r>
        <w:rPr>
          <w:rFonts w:hint="default"/>
          <w:b/>
          <w:i w:val="0"/>
          <w:iCs/>
          <w:sz w:val="44"/>
          <w:lang w:val="hr-HR"/>
        </w:rPr>
        <w:t>1.prosinca</w:t>
      </w:r>
      <w:r>
        <w:rPr>
          <w:rFonts w:ascii="Times New Roman" w:hAnsi="Times New Roman" w:eastAsia="Times New Roman"/>
          <w:b/>
          <w:i w:val="0"/>
          <w:iCs/>
          <w:sz w:val="44"/>
        </w:rPr>
        <w:t xml:space="preserve"> 201</w:t>
      </w:r>
      <w:r>
        <w:rPr>
          <w:rFonts w:hint="default" w:ascii="Times New Roman" w:hAnsi="Times New Roman" w:eastAsia="Times New Roman"/>
          <w:b/>
          <w:i w:val="0"/>
          <w:iCs/>
          <w:sz w:val="44"/>
          <w:lang w:val="hr-HR"/>
        </w:rPr>
        <w:t>9</w:t>
      </w:r>
      <w:r>
        <w:rPr>
          <w:rFonts w:ascii="Times New Roman" w:hAnsi="Times New Roman" w:eastAsia="Times New Roman"/>
          <w:b/>
          <w:i w:val="0"/>
          <w:iCs/>
          <w:sz w:val="44"/>
        </w:rPr>
        <w:t>. godine</w:t>
      </w:r>
    </w:p>
    <w:p>
      <w:pPr>
        <w:spacing w:line="370" w:lineRule="exact"/>
        <w:rPr>
          <w:rFonts w:ascii="Times New Roman" w:hAnsi="Times New Roman" w:eastAsia="Times New Roman"/>
          <w:i w:val="0"/>
          <w:iCs/>
          <w:sz w:val="24"/>
        </w:rPr>
      </w:pPr>
      <w:r>
        <w:rPr>
          <w:rFonts w:ascii="Times New Roman" w:hAnsi="Times New Roman" w:eastAsia="Times New Roman"/>
          <w:b/>
          <w:i w:val="0"/>
          <w:iCs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140970</wp:posOffset>
                </wp:positionV>
                <wp:extent cx="6258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4F81BD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75pt;margin-top:11.1pt;height:0pt;width:492.8pt;z-index:-251657216;mso-width-relative:page;mso-height-relative:page;" filled="f" stroked="t" coordsize="21600,21600" o:allowincell="f" o:gfxdata="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irzSm1gAAAAkBAAAPAAAAAAAAAAEAIAAAACIAAABkcnMv&#10;ZG93bnJldi54bWxQSwECFAAUAAAACACHTuJAIu/ly8wBAACZAwAADgAAAAAAAAABACAAAAAlAQAA&#10;ZHJzL2Uyb0RvYy54bWxQSwUGAAAAAAYABgBZAQAAYwUAAAAA&#10;">
                <v:fill on="f" focussize="0,0"/>
                <v:stroke weight="0.48pt" color="#4F81BD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/>
          <w:sz w:val="36"/>
        </w:rPr>
      </w:pPr>
    </w:p>
    <w:p>
      <w:pPr>
        <w:spacing w:line="0" w:lineRule="atLeast"/>
        <w:ind w:left="2780"/>
        <w:rPr>
          <w:rFonts w:ascii="Times New Roman" w:hAnsi="Times New Roman" w:eastAsia="Times New Roman"/>
          <w:i w:val="0"/>
          <w:iCs/>
          <w:sz w:val="36"/>
        </w:rPr>
      </w:pPr>
      <w:r>
        <w:rPr>
          <w:rFonts w:ascii="Times New Roman" w:hAnsi="Times New Roman" w:eastAsia="Times New Roman"/>
          <w:i w:val="0"/>
          <w:iCs/>
          <w:sz w:val="36"/>
        </w:rPr>
        <w:t>Bilješke uz obrazac PR-RAS</w:t>
      </w:r>
    </w:p>
    <w:p>
      <w:pPr>
        <w:spacing w:line="279" w:lineRule="exact"/>
        <w:rPr>
          <w:rFonts w:ascii="Times New Roman" w:hAnsi="Times New Roman" w:eastAsia="Times New Roman"/>
        </w:rPr>
      </w:pPr>
    </w:p>
    <w:p>
      <w:pPr>
        <w:spacing w:line="354" w:lineRule="auto"/>
        <w:ind w:right="160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Ukupno ostvareni prihodi </w:t>
      </w:r>
      <w:r>
        <w:rPr>
          <w:rFonts w:hint="default"/>
          <w:sz w:val="24"/>
          <w:lang w:val="hr-HR"/>
        </w:rPr>
        <w:t>poslovanja</w:t>
      </w:r>
      <w:r>
        <w:rPr>
          <w:rFonts w:ascii="Times New Roman" w:hAnsi="Times New Roman" w:eastAsia="Times New Roman"/>
          <w:sz w:val="24"/>
        </w:rPr>
        <w:t xml:space="preserve"> za razdoblje 01. siječnja </w:t>
      </w:r>
      <w:r>
        <w:rPr>
          <w:rFonts w:ascii="Times New Roman" w:hAnsi="Times New Roman" w:eastAsia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do 3</w:t>
      </w:r>
      <w:r>
        <w:rPr>
          <w:rFonts w:hint="default"/>
          <w:color w:val="000000" w:themeColor="text1"/>
          <w:sz w:val="24"/>
          <w:lang w:val="hr-HR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default"/>
          <w:color w:val="000000" w:themeColor="text1"/>
          <w:sz w:val="24"/>
          <w:lang w:val="hr-HR"/>
          <w14:textFill>
            <w14:solidFill>
              <w14:schemeClr w14:val="tx1"/>
            </w14:solidFill>
          </w14:textFill>
        </w:rPr>
        <w:t>prosinca</w:t>
      </w:r>
      <w:r>
        <w:rPr>
          <w:rFonts w:ascii="Times New Roman" w:hAnsi="Times New Roman" w:eastAsia="Times New Roman"/>
          <w:sz w:val="24"/>
        </w:rPr>
        <w:t xml:space="preserve"> 201</w:t>
      </w:r>
      <w:r>
        <w:rPr>
          <w:rFonts w:hint="default" w:ascii="Times New Roman" w:hAnsi="Times New Roman" w:eastAsia="Times New Roman"/>
          <w:sz w:val="24"/>
          <w:lang w:val="hr-HR"/>
        </w:rPr>
        <w:t>9</w:t>
      </w:r>
      <w:r>
        <w:rPr>
          <w:rFonts w:ascii="Times New Roman" w:hAnsi="Times New Roman" w:eastAsia="Times New Roman"/>
          <w:sz w:val="24"/>
        </w:rPr>
        <w:t xml:space="preserve">. godine iznose </w:t>
      </w:r>
      <w:r>
        <w:rPr>
          <w:rFonts w:hint="default"/>
          <w:sz w:val="24"/>
          <w:lang w:val="hr-HR"/>
        </w:rPr>
        <w:t>5.853.248</w:t>
      </w:r>
      <w:r>
        <w:rPr>
          <w:rFonts w:ascii="Times New Roman" w:hAnsi="Times New Roman" w:eastAsia="Times New Roman"/>
          <w:sz w:val="24"/>
        </w:rPr>
        <w:t xml:space="preserve"> kuna, dok ukupno ostvareni rashodi </w:t>
      </w:r>
      <w:r>
        <w:rPr>
          <w:rFonts w:hint="default"/>
          <w:sz w:val="24"/>
          <w:lang w:val="hr-HR"/>
        </w:rPr>
        <w:t>poslovanja 5.612.500</w:t>
      </w:r>
      <w:r>
        <w:rPr>
          <w:rFonts w:ascii="Times New Roman" w:hAnsi="Times New Roman" w:eastAsia="Times New Roman"/>
          <w:sz w:val="24"/>
        </w:rPr>
        <w:t xml:space="preserve"> kuna. U izvještajnom razdoblju ostvaren je višak prihoda </w:t>
      </w:r>
      <w:r>
        <w:rPr>
          <w:rFonts w:hint="default"/>
          <w:sz w:val="24"/>
          <w:lang w:val="hr-HR"/>
        </w:rPr>
        <w:t xml:space="preserve">poslovanja </w:t>
      </w:r>
      <w:r>
        <w:rPr>
          <w:rFonts w:ascii="Times New Roman" w:hAnsi="Times New Roman" w:eastAsia="Times New Roman"/>
          <w:sz w:val="24"/>
        </w:rPr>
        <w:t xml:space="preserve">u iznosu od </w:t>
      </w:r>
      <w:r>
        <w:rPr>
          <w:rFonts w:hint="default"/>
          <w:sz w:val="24"/>
          <w:lang w:val="hr-HR"/>
        </w:rPr>
        <w:t xml:space="preserve">240.748 </w:t>
      </w:r>
      <w:r>
        <w:rPr>
          <w:rFonts w:ascii="Times New Roman" w:hAnsi="Times New Roman" w:eastAsia="Times New Roman"/>
          <w:sz w:val="24"/>
        </w:rPr>
        <w:t>kun</w:t>
      </w:r>
      <w:r>
        <w:rPr>
          <w:rFonts w:hint="default"/>
          <w:sz w:val="24"/>
          <w:lang w:val="hr-HR"/>
        </w:rPr>
        <w:t>a</w:t>
      </w:r>
      <w:r>
        <w:rPr>
          <w:rFonts w:ascii="Times New Roman" w:hAnsi="Times New Roman" w:eastAsia="Times New Roman"/>
          <w:sz w:val="24"/>
        </w:rPr>
        <w:t>.</w:t>
      </w: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>U izvještajnom razdoblju prihod od nefinancijske imovine iznosi 28.401 kn, a rashod 175.371 kn, što čini manjak prihoda od nefinancijske imovine u iznosu od -146.970 kn</w:t>
      </w: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</w:p>
    <w:tbl>
      <w:tblPr>
        <w:tblStyle w:val="3"/>
        <w:tblW w:w="935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6378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1441" w:firstLineChars="60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PRIHODI I RASHODI OD POSLOVANJA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AOP 001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Prihodi poslovanja (6)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en-US" w:eastAsia="hr-HR"/>
              </w:rPr>
            </w:pPr>
            <w:r>
              <w:rPr>
                <w:rFonts w:hint="default"/>
                <w:sz w:val="24"/>
                <w:szCs w:val="24"/>
                <w:lang w:val="en-US" w:eastAsia="hr-HR"/>
              </w:rPr>
              <w:t>5.853.248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AOP 148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Rashodi poslovanja (3)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  <w:r>
              <w:rPr>
                <w:rFonts w:hint="default"/>
                <w:sz w:val="24"/>
                <w:szCs w:val="24"/>
                <w:lang w:val="en-US" w:eastAsia="hr-HR"/>
              </w:rPr>
              <w:t>5.612.500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jc w:val="right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AOP 282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VIŠAK PRIHODA POSLOVANJA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en-US" w:eastAsia="hr-HR"/>
              </w:rPr>
            </w:pPr>
            <w:r>
              <w:rPr>
                <w:rFonts w:hint="default"/>
                <w:sz w:val="24"/>
                <w:szCs w:val="24"/>
                <w:lang w:val="en-US" w:eastAsia="hr-HR"/>
              </w:rPr>
              <w:t>240.748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1441" w:firstLineChars="600"/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4"/>
                <w:szCs w:val="24"/>
                <w:lang w:eastAsia="hr-HR"/>
              </w:rPr>
              <w:t>PRIHODI I RASHODI OD NEFINANCIJSKE IMOVINE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AOP 289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Prihodi od prodaje nefinancijske imovine (7)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en-US" w:eastAsia="hr-HR"/>
              </w:rPr>
            </w:pPr>
            <w:r>
              <w:rPr>
                <w:rFonts w:hint="default"/>
                <w:sz w:val="24"/>
                <w:szCs w:val="24"/>
                <w:lang w:val="en-US" w:eastAsia="hr-HR"/>
              </w:rPr>
              <w:t>28.401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AOP 341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Rashodi za nabavu nefinancijske imovine (4)</w:t>
            </w:r>
          </w:p>
        </w:tc>
        <w:tc>
          <w:tcPr>
            <w:tcW w:w="1418" w:type="dxa"/>
            <w:tcBorders>
              <w:top w:val="single" w:color="C0C0C0" w:sz="4" w:space="0"/>
              <w:left w:val="single" w:color="000080" w:sz="4" w:space="0"/>
              <w:bottom w:val="single" w:color="C0C0C0" w:sz="4" w:space="0"/>
              <w:right w:val="single" w:color="000080" w:sz="4" w:space="0"/>
            </w:tcBorders>
            <w:shd w:val="clear" w:color="auto" w:fill="auto"/>
            <w:noWrap/>
            <w:vAlign w:val="top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en-US" w:eastAsia="hr-HR"/>
              </w:rPr>
            </w:pPr>
            <w:r>
              <w:rPr>
                <w:rFonts w:hint="default"/>
                <w:sz w:val="24"/>
                <w:szCs w:val="24"/>
                <w:lang w:val="en-US" w:eastAsia="hr-HR"/>
              </w:rPr>
              <w:t>175.371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hr-H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AOP 399</w:t>
            </w:r>
          </w:p>
        </w:tc>
        <w:tc>
          <w:tcPr>
            <w:tcW w:w="6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firstLine="240" w:firstLineChars="10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hr-HR"/>
              </w:rPr>
              <w:t>MANJAK PRIHODA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hint="default" w:ascii="Times New Roman" w:hAnsi="Times New Roman" w:eastAsia="Times New Roman"/>
                <w:sz w:val="24"/>
                <w:szCs w:val="24"/>
                <w:lang w:val="en-US" w:eastAsia="hr-HR"/>
              </w:rPr>
            </w:pPr>
            <w:r>
              <w:rPr>
                <w:rFonts w:hint="default"/>
                <w:sz w:val="24"/>
                <w:szCs w:val="24"/>
                <w:lang w:val="en-US" w:eastAsia="hr-HR"/>
              </w:rPr>
              <w:t>-146.970</w:t>
            </w:r>
          </w:p>
        </w:tc>
      </w:tr>
    </w:tbl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>Višak prihoda poslovanja     240.748     AOP 282</w:t>
      </w: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 xml:space="preserve">Manjak pr.od nef.imovine   -146.970     AOP 399  </w:t>
      </w:r>
    </w:p>
    <w:p>
      <w:pPr>
        <w:pBdr>
          <w:bottom w:val="single" w:color="auto" w:sz="12" w:space="0"/>
        </w:pBdr>
        <w:spacing w:line="354" w:lineRule="auto"/>
        <w:ind w:right="160"/>
        <w:jc w:val="both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>Višak prih.poslov.2018        148.370     AOP 407</w:t>
      </w:r>
    </w:p>
    <w:p>
      <w:pPr>
        <w:spacing w:line="354" w:lineRule="auto"/>
        <w:ind w:right="160"/>
        <w:jc w:val="both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 xml:space="preserve">Ukupni višak:                       242.148 kn   AOP 635 </w:t>
      </w:r>
    </w:p>
    <w:p>
      <w:pPr>
        <w:spacing w:line="354" w:lineRule="auto"/>
        <w:ind w:right="160"/>
        <w:jc w:val="both"/>
        <w:rPr>
          <w:rFonts w:hint="default" w:ascii="Times New Roman" w:hAnsi="Times New Roman" w:eastAsia="Times New Roman"/>
          <w:sz w:val="24"/>
          <w:lang w:val="hr-HR"/>
        </w:rPr>
      </w:pPr>
      <w:r>
        <w:rPr>
          <w:rFonts w:hint="default"/>
          <w:sz w:val="24"/>
          <w:lang w:val="hr-HR"/>
        </w:rPr>
        <w:t xml:space="preserve">. </w:t>
      </w:r>
    </w:p>
    <w:p>
      <w:pPr>
        <w:spacing w:line="8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U nastavku dajemo pregled ostvarenih prihoda i rashoda u izvještajnom razdoblju.</w:t>
      </w: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firstLine="1201" w:firstLineChars="500"/>
        <w:rPr>
          <w:rFonts w:ascii="Times New Roman" w:hAnsi="Times New Roman" w:eastAsia="Times New Roman"/>
          <w:b/>
          <w:i w:val="0"/>
          <w:iCs/>
          <w:sz w:val="24"/>
        </w:rPr>
      </w:pPr>
      <w:r>
        <w:rPr>
          <w:rFonts w:ascii="Times New Roman" w:hAnsi="Times New Roman" w:eastAsia="Times New Roman"/>
          <w:b/>
          <w:i w:val="0"/>
          <w:iCs/>
          <w:sz w:val="24"/>
        </w:rPr>
        <w:t xml:space="preserve"> Ostvarenje prihoda i rashoda po izvorima financiranja</w:t>
      </w:r>
    </w:p>
    <w:p>
      <w:pPr>
        <w:spacing w:line="122" w:lineRule="exact"/>
        <w:rPr>
          <w:rFonts w:ascii="Times New Roman" w:hAnsi="Times New Roman" w:eastAsia="Times New Roman"/>
        </w:rPr>
      </w:pPr>
    </w:p>
    <w:tbl>
      <w:tblPr>
        <w:tblStyle w:val="3"/>
        <w:tblW w:w="9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0"/>
        <w:gridCol w:w="212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58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2340"/>
              <w:rPr>
                <w:rFonts w:ascii="Times New Roman" w:hAnsi="Times New Roman" w:eastAsia="Times New Roman"/>
                <w:b/>
                <w:i/>
                <w:sz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</w:rPr>
              <w:t>IZVOR</w:t>
            </w:r>
          </w:p>
        </w:tc>
        <w:tc>
          <w:tcPr>
            <w:tcW w:w="212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418"/>
              <w:jc w:val="right"/>
              <w:rPr>
                <w:rFonts w:ascii="Times New Roman" w:hAnsi="Times New Roman" w:eastAsia="Times New Roman"/>
                <w:b/>
                <w:i/>
                <w:sz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</w:rPr>
              <w:t>PRIHOD</w:t>
            </w:r>
          </w:p>
        </w:tc>
        <w:tc>
          <w:tcPr>
            <w:tcW w:w="210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378"/>
              <w:jc w:val="right"/>
              <w:rPr>
                <w:rFonts w:ascii="Times New Roman" w:hAnsi="Times New Roman" w:eastAsia="Times New Roman"/>
                <w:b/>
                <w:i/>
                <w:sz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</w:rPr>
              <w:t>RASHOD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Opći prihodi i primici - Grad Pula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hint="default"/>
                <w:sz w:val="24"/>
                <w:lang w:val="hr-HR"/>
              </w:rPr>
              <w:t>2.121.385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2.168.885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 w:leftChars="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Prihodi iz državnog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 w:rightChars="0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780.000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780.000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hint="default" w:ascii="Times New Roman" w:hAnsi="Times New Roman" w:eastAsia="Times New Roman"/>
                <w:sz w:val="22"/>
                <w:lang w:val="hr-HR"/>
              </w:rPr>
            </w:pPr>
            <w:r>
              <w:rPr>
                <w:rFonts w:ascii="Times New Roman" w:hAnsi="Times New Roman" w:eastAsia="Times New Roman"/>
                <w:sz w:val="22"/>
              </w:rPr>
              <w:t xml:space="preserve">Prihodi iz </w:t>
            </w:r>
            <w:r>
              <w:rPr>
                <w:sz w:val="22"/>
                <w:lang w:val="hr-HR"/>
              </w:rPr>
              <w:t>ž</w:t>
            </w:r>
            <w:r>
              <w:rPr>
                <w:rFonts w:hint="default"/>
                <w:sz w:val="22"/>
                <w:lang w:val="hr-HR"/>
              </w:rPr>
              <w:t>upanijskog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1.065.000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1.065.000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Prihodi iz općinsk</w:t>
            </w:r>
            <w:r>
              <w:rPr>
                <w:rFonts w:hint="default"/>
                <w:sz w:val="22"/>
                <w:lang w:val="hr-HR"/>
              </w:rPr>
              <w:t>ih</w:t>
            </w:r>
            <w:r>
              <w:rPr>
                <w:rFonts w:ascii="Times New Roman" w:hAnsi="Times New Roman" w:eastAsia="Times New Roman"/>
                <w:sz w:val="22"/>
              </w:rPr>
              <w:t xml:space="preserve">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322.500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297.404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hint="default" w:ascii="Times New Roman" w:hAnsi="Times New Roman" w:eastAsia="Times New Roman"/>
                <w:sz w:val="22"/>
                <w:lang w:val="hr-HR"/>
              </w:rPr>
            </w:pPr>
            <w:r>
              <w:rPr>
                <w:rFonts w:ascii="Times New Roman" w:hAnsi="Times New Roman" w:eastAsia="Times New Roman"/>
                <w:sz w:val="22"/>
              </w:rPr>
              <w:t xml:space="preserve">Prihodi </w:t>
            </w:r>
            <w:r>
              <w:rPr>
                <w:rFonts w:hint="default"/>
                <w:sz w:val="22"/>
                <w:lang w:val="hr-HR"/>
              </w:rPr>
              <w:t>iz gradskih proračuna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1.068.000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1.058.102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Prihodi od sufinanciranja cijene usluga, participacije i s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103.200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88.854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Prihodi od pruženih usluga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31.150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23.887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hint="default" w:ascii="Times New Roman" w:hAnsi="Times New Roman" w:eastAsia="Times New Roman"/>
                <w:sz w:val="22"/>
                <w:lang w:val="hr-HR"/>
              </w:rPr>
            </w:pPr>
            <w:r>
              <w:rPr>
                <w:rFonts w:hint="default"/>
                <w:sz w:val="22"/>
                <w:lang w:val="hr-HR"/>
              </w:rPr>
              <w:t>Prihodi od donacija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353.659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265.804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ascii="Times New Roman" w:hAnsi="Times New Roman" w:eastAsia="Times New Roman"/>
                <w:sz w:val="22"/>
              </w:rPr>
              <w:t>Ostali prihodi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4.346</w:t>
            </w:r>
          </w:p>
        </w:tc>
        <w:tc>
          <w:tcPr>
            <w:tcW w:w="210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4.346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hint="default"/>
                <w:sz w:val="22"/>
                <w:lang w:val="hr-HR"/>
              </w:rPr>
            </w:pPr>
            <w:r>
              <w:rPr>
                <w:rFonts w:hint="default"/>
                <w:sz w:val="22"/>
                <w:lang w:val="hr-HR"/>
              </w:rPr>
              <w:t>Prihodi od naknada šteta s osnova osiguranja</w:t>
            </w:r>
          </w:p>
        </w:tc>
        <w:tc>
          <w:tcPr>
            <w:tcW w:w="212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4.008</w:t>
            </w:r>
          </w:p>
        </w:tc>
        <w:tc>
          <w:tcPr>
            <w:tcW w:w="2100" w:type="dxa"/>
            <w:tcBorders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558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252" w:lineRule="exact"/>
              <w:ind w:left="340"/>
              <w:rPr>
                <w:rFonts w:hint="default"/>
                <w:sz w:val="22"/>
                <w:lang w:val="hr-HR"/>
              </w:rPr>
            </w:pPr>
            <w:r>
              <w:rPr>
                <w:rFonts w:hint="default"/>
                <w:sz w:val="22"/>
                <w:lang w:val="hr-HR"/>
              </w:rPr>
              <w:t xml:space="preserve">Prihodi od prodaje </w:t>
            </w:r>
          </w:p>
        </w:tc>
        <w:tc>
          <w:tcPr>
            <w:tcW w:w="2120" w:type="dxa"/>
            <w:tcBorders>
              <w:top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38"/>
              <w:jc w:val="right"/>
              <w:rPr>
                <w:rFonts w:hint="default" w:ascii="Times New Roman" w:hAnsi="Times New Roman" w:eastAsia="Times New Roman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28.401</w:t>
            </w:r>
          </w:p>
        </w:tc>
        <w:tc>
          <w:tcPr>
            <w:tcW w:w="2100" w:type="dxa"/>
            <w:tcBorders>
              <w:top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18"/>
              <w:jc w:val="right"/>
              <w:rPr>
                <w:rFonts w:hint="default"/>
                <w:sz w:val="24"/>
                <w:lang w:val="hr-HR"/>
              </w:rPr>
            </w:pPr>
            <w:r>
              <w:rPr>
                <w:rFonts w:hint="default"/>
                <w:sz w:val="24"/>
                <w:lang w:val="hr-HR"/>
              </w:rPr>
              <w:t>28.401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55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1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55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340"/>
              <w:rPr>
                <w:rFonts w:ascii="Times New Roman" w:hAnsi="Times New Roman" w:eastAsia="Times New Roman"/>
                <w:b/>
                <w:i/>
                <w:sz w:val="24"/>
              </w:rPr>
            </w:pPr>
            <w:r>
              <w:rPr>
                <w:rFonts w:ascii="Times New Roman" w:hAnsi="Times New Roman" w:eastAsia="Times New Roman"/>
                <w:b/>
                <w:i/>
                <w:sz w:val="24"/>
              </w:rPr>
              <w:t>SVEUKUPNO</w:t>
            </w:r>
          </w:p>
        </w:tc>
        <w:tc>
          <w:tcPr>
            <w:tcW w:w="212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78"/>
              <w:jc w:val="right"/>
              <w:rPr>
                <w:rFonts w:hint="default" w:ascii="Times New Roman" w:hAnsi="Times New Roman" w:eastAsia="Times New Roman"/>
                <w:b/>
                <w:i/>
                <w:sz w:val="24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24"/>
                <w:lang w:val="hr-HR"/>
              </w:rPr>
              <w:t>5.881.649</w:t>
            </w:r>
          </w:p>
        </w:tc>
        <w:tc>
          <w:tcPr>
            <w:tcW w:w="210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right="278"/>
              <w:jc w:val="right"/>
              <w:rPr>
                <w:rFonts w:hint="default" w:ascii="Times New Roman" w:hAnsi="Times New Roman" w:eastAsia="Times New Roman"/>
                <w:b/>
                <w:i/>
                <w:sz w:val="24"/>
                <w:lang w:val="hr-HR"/>
              </w:rPr>
            </w:pPr>
            <w:r>
              <w:rPr>
                <w:rFonts w:hint="default"/>
                <w:b/>
                <w:i w:val="0"/>
                <w:iCs/>
                <w:sz w:val="24"/>
                <w:lang w:val="hr-HR"/>
              </w:rPr>
              <w:t>5.787.871</w:t>
            </w:r>
          </w:p>
        </w:tc>
      </w:tr>
    </w:tbl>
    <w:p/>
    <w:p/>
    <w:p>
      <w:r>
        <w:rPr>
          <w:rFonts w:hint="default"/>
          <w:lang w:val="hr-HR"/>
        </w:rPr>
        <w:t xml:space="preserve"> </w:t>
      </w:r>
    </w:p>
    <w:p>
      <w:pPr>
        <w:spacing w:line="348" w:lineRule="auto"/>
        <w:ind w:right="180" w:firstLine="120" w:firstLineChars="50"/>
        <w:rPr>
          <w:rFonts w:hint="default" w:ascii="Times New Roman" w:hAnsi="Times New Roman" w:eastAsia="Times New Roman"/>
          <w:sz w:val="24"/>
          <w:lang w:val="hr-HR"/>
        </w:rPr>
      </w:pPr>
      <w:r>
        <w:rPr>
          <w:rFonts w:hint="default"/>
          <w:sz w:val="24"/>
          <w:lang w:val="hr-HR"/>
        </w:rPr>
        <w:t xml:space="preserve">  </w:t>
      </w:r>
    </w:p>
    <w:p>
      <w:pPr>
        <w:spacing w:line="338" w:lineRule="auto"/>
        <w:ind w:right="180"/>
        <w:rPr>
          <w:rFonts w:ascii="Times New Roman" w:hAnsi="Times New Roman" w:eastAsia="Times New Roman"/>
          <w:sz w:val="24"/>
        </w:rPr>
      </w:pPr>
    </w:p>
    <w:p>
      <w:pPr>
        <w:spacing w:line="354" w:lineRule="auto"/>
        <w:jc w:val="both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U strukturi prihoda  najznačajniji su Opći prihodi i primici - </w:t>
      </w:r>
      <w:r>
        <w:rPr>
          <w:rFonts w:hint="default"/>
          <w:sz w:val="24"/>
          <w:lang w:val="hr-HR"/>
        </w:rPr>
        <w:t>Grad Pula</w:t>
      </w:r>
      <w:r>
        <w:rPr>
          <w:rFonts w:ascii="Times New Roman" w:hAnsi="Times New Roman" w:eastAsia="Times New Roman"/>
          <w:sz w:val="24"/>
        </w:rPr>
        <w:t xml:space="preserve"> - </w:t>
      </w:r>
      <w:r>
        <w:rPr>
          <w:rFonts w:hint="default"/>
          <w:sz w:val="24"/>
          <w:lang w:val="hr-HR"/>
        </w:rPr>
        <w:t>nadležni proračun</w:t>
      </w:r>
      <w:r>
        <w:rPr>
          <w:rFonts w:ascii="Times New Roman" w:hAnsi="Times New Roman" w:eastAsia="Times New Roman"/>
          <w:sz w:val="24"/>
        </w:rPr>
        <w:t>,</w:t>
      </w:r>
      <w:r>
        <w:rPr>
          <w:rFonts w:hint="default"/>
          <w:sz w:val="24"/>
          <w:lang w:val="hr-HR"/>
        </w:rPr>
        <w:t xml:space="preserve"> AOP 132,</w:t>
      </w:r>
      <w:r>
        <w:rPr>
          <w:rFonts w:ascii="Times New Roman" w:hAnsi="Times New Roman" w:eastAsia="Times New Roman"/>
          <w:sz w:val="24"/>
        </w:rPr>
        <w:t xml:space="preserve"> koji čine </w:t>
      </w:r>
      <w:r>
        <w:rPr>
          <w:rFonts w:hint="default"/>
          <w:sz w:val="24"/>
          <w:lang w:val="hr-HR"/>
        </w:rPr>
        <w:t>36,068</w:t>
      </w:r>
      <w:r>
        <w:rPr>
          <w:rFonts w:ascii="Times New Roman" w:hAnsi="Times New Roman" w:eastAsia="Times New Roman"/>
          <w:sz w:val="24"/>
        </w:rPr>
        <w:t xml:space="preserve">% ukupnih prihoda </w:t>
      </w:r>
      <w:r>
        <w:rPr>
          <w:rFonts w:hint="default"/>
          <w:sz w:val="24"/>
          <w:lang w:val="hr-HR"/>
        </w:rPr>
        <w:t>Ustanove</w:t>
      </w:r>
      <w:r>
        <w:rPr>
          <w:rFonts w:ascii="Times New Roman" w:hAnsi="Times New Roman" w:eastAsia="Times New Roman"/>
          <w:sz w:val="24"/>
        </w:rPr>
        <w:t xml:space="preserve"> za </w:t>
      </w:r>
      <w:r>
        <w:rPr>
          <w:rFonts w:hint="default"/>
          <w:sz w:val="24"/>
          <w:lang w:val="hr-HR"/>
        </w:rPr>
        <w:t>izvještajno razdoblje</w:t>
      </w:r>
      <w:r>
        <w:rPr>
          <w:rFonts w:ascii="Times New Roman" w:hAnsi="Times New Roman" w:eastAsia="Times New Roman"/>
          <w:sz w:val="24"/>
        </w:rPr>
        <w:t xml:space="preserve">. Navedeni prihodi </w:t>
      </w:r>
      <w:r>
        <w:rPr>
          <w:rFonts w:hint="default"/>
          <w:sz w:val="24"/>
          <w:lang w:val="hr-HR"/>
        </w:rPr>
        <w:t>većinom su utrošeni</w:t>
      </w:r>
      <w:r>
        <w:rPr>
          <w:rFonts w:ascii="Times New Roman" w:hAnsi="Times New Roman" w:eastAsia="Times New Roman"/>
          <w:sz w:val="24"/>
        </w:rPr>
        <w:t xml:space="preserve"> na isplate plaća, </w:t>
      </w:r>
      <w:r>
        <w:rPr>
          <w:rFonts w:hint="default"/>
          <w:sz w:val="24"/>
          <w:lang w:val="hr-HR"/>
        </w:rPr>
        <w:t xml:space="preserve">doprinosa i ostalih rashoda za zaposlene, 2.032.403 kn i ostalih materijalnih rashoda u iznosu od 88.982 kn,u ukupnom iznosu od 2.121.385 kn,  </w:t>
      </w:r>
      <w:r>
        <w:rPr>
          <w:rFonts w:ascii="Times New Roman" w:hAnsi="Times New Roman" w:eastAsia="Times New Roman"/>
          <w:sz w:val="24"/>
        </w:rPr>
        <w:t>.</w:t>
      </w:r>
    </w:p>
    <w:p>
      <w:pPr>
        <w:spacing w:line="20" w:lineRule="exact"/>
        <w:rPr>
          <w:rFonts w:ascii="Times New Roman" w:hAnsi="Times New Roman" w:eastAsia="Times New Roman"/>
        </w:rPr>
      </w:pPr>
    </w:p>
    <w:p>
      <w:pPr>
        <w:spacing w:line="356" w:lineRule="auto"/>
        <w:jc w:val="both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 xml:space="preserve">I kod ostalih izvora tekućih i kapitalnih pomoći pror.korisnicima  iz proračuna koji im nije nadležan AOP 64 / država, županija, općine i gradovi / većina prihoda je utrošena za plaće djelatnika i prijevoz, odnosno od ukupnih 3.235.500 kn, na spomenute rashode je utrošeno 2.537.200 kn, a ostalo na materijalne rashode. </w:t>
      </w:r>
    </w:p>
    <w:p>
      <w:pPr>
        <w:spacing w:line="356" w:lineRule="auto"/>
        <w:jc w:val="both"/>
        <w:rPr>
          <w:rFonts w:ascii="Times New Roman" w:hAnsi="Times New Roman" w:eastAsia="Times New Roman"/>
          <w:sz w:val="24"/>
        </w:rPr>
      </w:pPr>
      <w:r>
        <w:rPr>
          <w:rFonts w:hint="default"/>
          <w:sz w:val="24"/>
          <w:lang w:val="hr-HR"/>
        </w:rPr>
        <w:t>Od ostalih prihoda, tj.prihoda</w:t>
      </w:r>
      <w:r>
        <w:rPr>
          <w:rFonts w:ascii="Times New Roman" w:hAnsi="Times New Roman" w:eastAsia="Times New Roman"/>
          <w:sz w:val="24"/>
        </w:rPr>
        <w:t xml:space="preserve"> od sufinanciranja cijene usluge,</w:t>
      </w:r>
      <w:r>
        <w:rPr>
          <w:rFonts w:hint="default"/>
          <w:sz w:val="24"/>
          <w:lang w:val="hr-HR"/>
        </w:rPr>
        <w:t xml:space="preserve"> prihodi od pruženih usluga,prihoda od prodaje, naknade šteta  i ostali prihodi u iznosu od 171.105kn, </w:t>
      </w:r>
      <w:r>
        <w:rPr>
          <w:rFonts w:ascii="Times New Roman" w:hAnsi="Times New Roman" w:eastAsia="Times New Roman"/>
          <w:sz w:val="24"/>
        </w:rPr>
        <w:t xml:space="preserve">, </w:t>
      </w:r>
      <w:r>
        <w:rPr>
          <w:rFonts w:hint="default"/>
          <w:sz w:val="24"/>
          <w:lang w:val="hr-HR"/>
        </w:rPr>
        <w:t>većinom su utrošeni za materijalne rashode, dok su prihodi od donacije u iznosu od 353.659, većinom utrošeni za nabavu osnovnih sredstava, sitnog inventara i didaktike.</w:t>
      </w:r>
    </w:p>
    <w:p>
      <w:pPr>
        <w:spacing w:line="19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hint="default"/>
          <w:sz w:val="24"/>
          <w:lang w:val="hr-HR"/>
        </w:rPr>
      </w:pPr>
    </w:p>
    <w:p>
      <w:pPr>
        <w:spacing w:line="0" w:lineRule="atLeast"/>
        <w:rPr>
          <w:rFonts w:hint="default"/>
          <w:sz w:val="24"/>
          <w:lang w:val="hr-HR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  <w:bookmarkStart w:id="0" w:name="_GoBack"/>
      <w:bookmarkEnd w:id="0"/>
      <w:r>
        <w:rPr>
          <w:rFonts w:hint="default"/>
          <w:sz w:val="24"/>
          <w:lang w:val="hr-HR"/>
        </w:rPr>
        <w:t>P</w:t>
      </w:r>
      <w:r>
        <w:rPr>
          <w:rFonts w:ascii="Times New Roman" w:hAnsi="Times New Roman" w:eastAsia="Times New Roman"/>
          <w:sz w:val="24"/>
        </w:rPr>
        <w:t>regled najznačajnijih odstupanja u odnosu na isto razdoblje prethodne godine:</w:t>
      </w:r>
    </w:p>
    <w:p>
      <w:pPr>
        <w:spacing w:line="327" w:lineRule="exact"/>
        <w:rPr>
          <w:rFonts w:ascii="Times New Roman" w:hAnsi="Times New Roman" w:eastAsia="Times New Roman"/>
        </w:rPr>
      </w:pPr>
    </w:p>
    <w:tbl>
      <w:tblPr>
        <w:tblStyle w:val="3"/>
        <w:tblpPr w:leftFromText="180" w:rightFromText="180" w:vertAnchor="text" w:horzAnchor="page" w:tblpX="388" w:tblpY="157"/>
        <w:tblOverlap w:val="never"/>
        <w:tblW w:w="109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475"/>
        <w:gridCol w:w="2010"/>
        <w:gridCol w:w="1860"/>
        <w:gridCol w:w="346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Aop/Kto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Naziv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Obrazloženje razlike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116/6526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Ostali nespomenuti prihodi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84.450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111.554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smanjenje - u 2019.godini više ne obavljamo prijevoz učenika za Školu za odgoj i obrazovanje, imamo 4 korisnika manje nego u proteklom razdoblju. U 2018 godini naplatili smo ovrhu za sufinanciranje cijene usluga.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126/6615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Prihodi od pruženih usluga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30.700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31.150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Neznatno povećanje - u 2018. godini počeli smo naplaćivati procjene tek krajem 2. mjeseca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128/6631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Tekuće donacije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22.740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221.961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povećanje - uplaćena  donacija od zaklade Adris 28.000, neplanirana od fizičke osobe 30.000, kao i donacije za izlet školske skupine u Sloveniju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, Krajem godine aukcija bijelog tartufa u Londonu.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</w:pPr>
            <w:r>
              <w:rPr>
                <w:rFonts w:hint="default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129/6632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Kapitalne donacije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131.698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Znatno povećanje-Rtl pomaže djeci,Unicef, Udruga za autizam,PBZ,Otvori prozor u svijet i t d.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155/312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Ostali rashodi za zaposlene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155.907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208.700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povećanje-Obračunata i isplaćena jedna otpremnina za odlazak u mirovinu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 kao i naknade za bolest i smrtni slučaj u iznosu 14.000 kn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 jedna jubilarna više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159/3133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Doprinosi za obvezno osiguranje u slučaju nezaposlenosti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61.353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5.416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smanjenje - u 2019 godini ukinut je navedeni doprinos. Iznos se odnosi na plaću od 12/2018 god.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164/3213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Stručno usavršavanje zaposlenika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38.719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21.537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smanjenje-u 2018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 više 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edukacija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.Najveće odstupanje edukacija ravnatelja u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managament program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u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14.400 kn kn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 u 2018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167/3221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Uredski materijal i ostali materijalni rashodi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64.645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121.037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povećanje - U 201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9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 godini dobili smo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i kupili samo od donacija didaktičkog materijala u iznosu od 50.164 kn. Za donirane fotokopirne uređaje dodatni trošak je i u tonerima.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168/3222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Materijal i sirovine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120.921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92.159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Zna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tno smanjenje  radi manjeg broja korisnika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170/3224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Materijal i dijelovi za tekuće i invest.održavanje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3.620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1.774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smanjenje-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u 2018 smo imali više troškova radi starog kombi vozila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171/3225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Sitni inventar i auto gume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13.549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Znatno povećanje -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kao i kod uredskog materijala većinu smo dobili od donacija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173/3227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Službena, radna i zaštitna odjeća i obuća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7.983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21.707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Z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natno povećanje -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Kupljene su anatom.papuče s protukliznim đonom potrebitim djelatnicima, radne cipele,jakna i kabanice za vozaće, te nova radna odjeća za fizioterapeute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175/3231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Usluge telefona, pošte i prijevoza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27.778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31.463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Neznatno povećanje -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Najam vozila za službeno putovanje i izlet školaraca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176/3232</w:t>
            </w:r>
          </w:p>
        </w:tc>
        <w:tc>
          <w:tcPr>
            <w:tcW w:w="24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Usluge tekućeg i investicijskog održavanja </w:t>
            </w:r>
          </w:p>
        </w:tc>
        <w:tc>
          <w:tcPr>
            <w:tcW w:w="20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14.248</w:t>
            </w:r>
          </w:p>
        </w:tc>
        <w:tc>
          <w:tcPr>
            <w:tcW w:w="18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87.013</w:t>
            </w:r>
          </w:p>
        </w:tc>
        <w:tc>
          <w:tcPr>
            <w:tcW w:w="34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Znatno povećanje -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Prihodom od prodaje vozila i prihodom od donacija renovirali smo prostor dječjeg vrtića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1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187/3292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Premije osiguranja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62.408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78.075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povećanje - dodatno osiguranje djelatnika Croatia osiguranje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 xml:space="preserve">, kasko osiguranje novog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188/3293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Reprezentacija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882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2.023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Neznatno s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manjenje - prošle godine smo obilježili dan Ustanove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192/3299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Ostali nespomenuti rashodi poslovanja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18.617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45.960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Znatno povećanje- odlazak na izlet u Sloveniju sa školarcima-ulaznice za muzej i ost. Događaje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, vodni doprinos za novu zgradu i ispitivanje hidranta, terapijsko jahanje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208/3431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Bankarske usluge i usluge platnog prometa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94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cs="Times New Roman"/>
                <w:i w:val="0"/>
                <w:color w:val="000000"/>
                <w:u w:val="none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Povećanje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 u 201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9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dobili smo donaciju iz inozemstva pa smo morali platiti naknadu banci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341/4</w:t>
            </w:r>
          </w:p>
        </w:tc>
        <w:tc>
          <w:tcPr>
            <w:tcW w:w="24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Rashodi za nabavu nefinancijske imovine</w:t>
            </w:r>
          </w:p>
        </w:tc>
        <w:tc>
          <w:tcPr>
            <w:tcW w:w="20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540.381</w:t>
            </w:r>
          </w:p>
        </w:tc>
        <w:tc>
          <w:tcPr>
            <w:tcW w:w="18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175.371</w:t>
            </w:r>
          </w:p>
        </w:tc>
        <w:tc>
          <w:tcPr>
            <w:tcW w:w="3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cs="Times New Roman"/>
                <w:i w:val="0"/>
                <w:color w:val="000000"/>
                <w:u w:val="none"/>
                <w:lang w:val="hr-H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Znatno smanjenje - u 2018 </w:t>
            </w:r>
            <w:r>
              <w:rPr>
                <w:rFonts w:hint="default" w:eastAsia="SimSun" w:cs="Times New Roman"/>
                <w:i w:val="0"/>
                <w:color w:val="000000"/>
                <w:kern w:val="0"/>
                <w:sz w:val="24"/>
                <w:szCs w:val="24"/>
                <w:u w:val="none"/>
                <w:lang w:val="hr-HR" w:eastAsia="zh-CN" w:bidi="ar"/>
              </w:rPr>
              <w:t>kupili smo novi kombi , izrada nove projektne dokum., dok smo u 2019 dobili i kupili od donacija više uredske i medicinske opreme.</w:t>
            </w:r>
          </w:p>
        </w:tc>
      </w:tr>
    </w:tbl>
    <w:p>
      <w:pPr>
        <w:rPr>
          <w:rFonts w:ascii="Times New Roman" w:hAnsi="Times New Roman" w:eastAsia="Times New Roman"/>
          <w:sz w:val="19"/>
        </w:rPr>
      </w:pPr>
    </w:p>
    <w:p>
      <w:pPr>
        <w:rPr>
          <w:rFonts w:ascii="Times New Roman" w:hAnsi="Times New Roman" w:eastAsia="Times New Roman"/>
          <w:sz w:val="19"/>
        </w:rPr>
      </w:pPr>
    </w:p>
    <w:p>
      <w:pPr>
        <w:rPr>
          <w:rFonts w:ascii="Times New Roman" w:hAnsi="Times New Roman" w:eastAsia="Times New Roman"/>
          <w:sz w:val="19"/>
        </w:rPr>
      </w:pPr>
    </w:p>
    <w:p>
      <w:pPr>
        <w:rPr>
          <w:rFonts w:ascii="Times New Roman" w:hAnsi="Times New Roman" w:eastAsia="Times New Roman"/>
          <w:sz w:val="19"/>
        </w:rPr>
      </w:pPr>
    </w:p>
    <w:p>
      <w:pPr>
        <w:rPr>
          <w:rFonts w:ascii="Times New Roman" w:hAnsi="Times New Roman" w:eastAsia="Times New Roman"/>
          <w:sz w:val="24"/>
          <w:szCs w:val="24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lang w:val="hr-HR"/>
        </w:rPr>
        <w:sectPr>
          <w:pgSz w:w="11900" w:h="16838"/>
          <w:pgMar w:top="849" w:right="1120" w:bottom="507" w:left="1140" w:header="0" w:footer="0" w:gutter="0"/>
          <w:cols w:equalWidth="0" w:num="1">
            <w:col w:w="9640"/>
          </w:cols>
          <w:docGrid w:linePitch="360" w:charSpace="0"/>
        </w:sectPr>
      </w:pPr>
      <w:r>
        <w:rPr>
          <w:rFonts w:hint="default"/>
          <w:sz w:val="24"/>
          <w:szCs w:val="24"/>
          <w:lang w:val="hr-HR"/>
        </w:rPr>
        <w:t>Najveća odstupanja odnose se na prihode i rashode od donacija, te oni većinom utjeću na razliku prihoda i rashoda  u odnosu na proteklu godinu.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11" w:lineRule="exact"/>
        <w:rPr>
          <w:rFonts w:ascii="Times New Roman" w:hAnsi="Times New Roman" w:eastAsia="Times New Roman"/>
        </w:rPr>
      </w:pPr>
    </w:p>
    <w:p>
      <w:pPr>
        <w:spacing w:line="222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Times New Roman" w:hAnsi="Times New Roman" w:eastAsia="Times New Roman"/>
          <w:i w:val="0"/>
          <w:iCs/>
          <w:sz w:val="36"/>
        </w:rPr>
      </w:pPr>
      <w:r>
        <w:rPr>
          <w:rFonts w:ascii="Times New Roman" w:hAnsi="Times New Roman" w:eastAsia="Times New Roman"/>
          <w:i w:val="0"/>
          <w:iCs/>
          <w:sz w:val="36"/>
        </w:rPr>
        <w:t>Bilješke uz obrazac OBVEZE</w:t>
      </w:r>
    </w:p>
    <w:p>
      <w:pPr>
        <w:spacing w:line="26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ascii="Times New Roman" w:hAnsi="Times New Roman" w:eastAsia="Times New Roman"/>
          <w:sz w:val="24"/>
        </w:rPr>
      </w:pP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both"/>
        <w:textAlignment w:val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 xml:space="preserve">Iskazane obveze na dan </w:t>
      </w:r>
      <w:r>
        <w:rPr>
          <w:rFonts w:hint="default"/>
          <w:sz w:val="24"/>
          <w:lang w:val="hr-HR"/>
        </w:rPr>
        <w:t>31.12.2019</w:t>
      </w:r>
      <w:r>
        <w:rPr>
          <w:rFonts w:ascii="Times New Roman" w:hAnsi="Times New Roman" w:eastAsia="Times New Roman"/>
          <w:sz w:val="24"/>
        </w:rPr>
        <w:t xml:space="preserve">. godine iznose </w:t>
      </w:r>
      <w:r>
        <w:rPr>
          <w:rFonts w:hint="default"/>
          <w:sz w:val="24"/>
          <w:lang w:val="hr-HR"/>
        </w:rPr>
        <w:t>466.175</w:t>
      </w:r>
      <w:r>
        <w:rPr>
          <w:rFonts w:ascii="Times New Roman" w:hAnsi="Times New Roman" w:eastAsia="Times New Roman"/>
          <w:sz w:val="24"/>
        </w:rPr>
        <w:t xml:space="preserve"> kuna.</w:t>
      </w: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51" w:lineRule="exact"/>
        <w:jc w:val="both"/>
        <w:textAlignment w:val="auto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7" w:lineRule="auto"/>
        <w:jc w:val="both"/>
        <w:textAlignment w:val="auto"/>
        <w:rPr>
          <w:rFonts w:hint="default"/>
          <w:sz w:val="24"/>
          <w:lang w:val="hr-HR"/>
        </w:rPr>
      </w:pPr>
      <w:r>
        <w:rPr>
          <w:rFonts w:ascii="Times New Roman" w:hAnsi="Times New Roman" w:eastAsia="Times New Roman"/>
          <w:sz w:val="24"/>
        </w:rPr>
        <w:t xml:space="preserve">Ukupne dospjele obveze iznose </w:t>
      </w:r>
      <w:r>
        <w:rPr>
          <w:rFonts w:hint="default"/>
          <w:sz w:val="24"/>
          <w:lang w:val="hr-HR"/>
        </w:rPr>
        <w:t>6.692</w:t>
      </w:r>
      <w:r>
        <w:rPr>
          <w:rFonts w:ascii="Times New Roman" w:hAnsi="Times New Roman" w:eastAsia="Times New Roman"/>
          <w:sz w:val="24"/>
        </w:rPr>
        <w:t xml:space="preserve"> kuna, te se odnose na </w:t>
      </w:r>
      <w:r>
        <w:rPr>
          <w:rFonts w:hint="default"/>
          <w:sz w:val="24"/>
          <w:lang w:val="hr-HR"/>
        </w:rPr>
        <w:t xml:space="preserve">obveze za mateijalne rashode </w:t>
      </w: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7" w:lineRule="auto"/>
        <w:jc w:val="both"/>
        <w:textAlignment w:val="auto"/>
        <w:rPr>
          <w:rFonts w:hint="default"/>
          <w:sz w:val="24"/>
          <w:lang w:val="hr-HR"/>
        </w:rPr>
      </w:pPr>
      <w:r>
        <w:rPr>
          <w:rFonts w:ascii="Times New Roman" w:hAnsi="Times New Roman" w:eastAsia="Times New Roman"/>
          <w:sz w:val="24"/>
        </w:rPr>
        <w:t xml:space="preserve">Ukupne nedospjele obveze iznose </w:t>
      </w:r>
      <w:r>
        <w:rPr>
          <w:rFonts w:hint="default"/>
          <w:sz w:val="24"/>
          <w:lang w:val="hr-HR"/>
        </w:rPr>
        <w:t xml:space="preserve">459.483 </w:t>
      </w:r>
      <w:r>
        <w:rPr>
          <w:rFonts w:ascii="Times New Roman" w:hAnsi="Times New Roman" w:eastAsia="Times New Roman"/>
          <w:sz w:val="24"/>
        </w:rPr>
        <w:t xml:space="preserve">kuna, </w:t>
      </w:r>
      <w:r>
        <w:rPr>
          <w:rFonts w:hint="default"/>
          <w:sz w:val="24"/>
          <w:lang w:val="hr-HR"/>
        </w:rPr>
        <w:t>od čega su 76.451 kuna obveze za materijalne rashode, a 379.479 kuna, plaća i naknada Upravnom vijeću za prosinac ,2019 godine i obveza za povrat u državni proračun 3.553 kn.</w:t>
      </w: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7" w:lineRule="auto"/>
        <w:jc w:val="both"/>
        <w:textAlignment w:val="auto"/>
        <w:rPr>
          <w:rFonts w:hint="default"/>
          <w:sz w:val="24"/>
          <w:lang w:val="hr-HR"/>
        </w:rPr>
      </w:pP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auto"/>
        <w:jc w:val="both"/>
        <w:textAlignment w:val="auto"/>
        <w:rPr>
          <w:rFonts w:hint="default"/>
          <w:sz w:val="24"/>
          <w:lang w:val="hr-HR"/>
        </w:rPr>
      </w:pP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auto"/>
        <w:jc w:val="left"/>
        <w:textAlignment w:val="auto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>Računovodstvo</w:t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>Ravnateljica</w:t>
      </w:r>
    </w:p>
    <w:p>
      <w:pPr>
        <w:keepNext w:val="0"/>
        <w:keepLines w:val="0"/>
        <w:pageBreakBefore w:val="0"/>
        <w:widowControl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8" w:lineRule="auto"/>
        <w:jc w:val="left"/>
        <w:textAlignment w:val="auto"/>
        <w:rPr>
          <w:rFonts w:hint="default"/>
          <w:sz w:val="24"/>
          <w:lang w:val="hr-HR"/>
        </w:rPr>
      </w:pPr>
      <w:r>
        <w:rPr>
          <w:rFonts w:hint="default"/>
          <w:sz w:val="24"/>
          <w:lang w:val="hr-HR"/>
        </w:rPr>
        <w:t>Snježana Vrus</w:t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ab/>
      </w:r>
      <w:r>
        <w:rPr>
          <w:rFonts w:hint="default"/>
          <w:sz w:val="24"/>
          <w:lang w:val="hr-HR"/>
        </w:rPr>
        <w:t>Loretta Morosin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52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87AC3"/>
    <w:rsid w:val="0800113D"/>
    <w:rsid w:val="0B2B5B1A"/>
    <w:rsid w:val="0D077656"/>
    <w:rsid w:val="13D77C4B"/>
    <w:rsid w:val="180E4085"/>
    <w:rsid w:val="1B5D68A8"/>
    <w:rsid w:val="1BFA4092"/>
    <w:rsid w:val="1D3F371D"/>
    <w:rsid w:val="1E2B4C07"/>
    <w:rsid w:val="21514456"/>
    <w:rsid w:val="23D3506A"/>
    <w:rsid w:val="261056D2"/>
    <w:rsid w:val="27932AC4"/>
    <w:rsid w:val="2B1F3F20"/>
    <w:rsid w:val="3AA10DEA"/>
    <w:rsid w:val="3BE801A0"/>
    <w:rsid w:val="463C0518"/>
    <w:rsid w:val="48950BFC"/>
    <w:rsid w:val="4B0969E8"/>
    <w:rsid w:val="4ED87AC3"/>
    <w:rsid w:val="4F6F4B42"/>
    <w:rsid w:val="544756F8"/>
    <w:rsid w:val="6CBC0680"/>
    <w:rsid w:val="6DD34A92"/>
    <w:rsid w:val="7D473462"/>
    <w:rsid w:val="7E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rPr>
      <w:rFonts w:ascii="Times New Roman" w:hAnsi="Times New Roman" w:eastAsia="Times New Roman" w:cs="Times New Roman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4.bin"/><Relationship Id="rId8" Type="http://schemas.openxmlformats.org/officeDocument/2006/relationships/oleObject" Target="embeddings/oleObject3.bin"/><Relationship Id="rId7" Type="http://schemas.openxmlformats.org/officeDocument/2006/relationships/oleObject" Target="embeddings/oleObject2.bin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2019-07-05T10:11:00Z</dcterms:created>
  <dc:creator>DRCZ</dc:creator>
  <cp:lastModifiedBy>DRCZ</cp:lastModifiedBy>
  <cp:lastPrinted>2020-01-30T06:06:00Z</cp:lastPrinted>
  <dcterms:modified xsi:type="dcterms:W3CDTF">2020-01-31T11:03:49Z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