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48C2" w14:textId="77777777" w:rsidR="00FC3969" w:rsidRDefault="00107CB3">
      <w:pPr>
        <w:spacing w:after="0"/>
        <w:rPr>
          <w:b/>
          <w:bCs/>
          <w:sz w:val="24"/>
          <w:szCs w:val="24"/>
          <w:lang w:val="sv-SE"/>
        </w:rPr>
      </w:pPr>
      <w:r>
        <w:rPr>
          <w:b/>
          <w:bCs/>
          <w:noProof/>
          <w:sz w:val="24"/>
          <w:szCs w:val="24"/>
          <w:lang w:eastAsia="hr-HR"/>
        </w:rPr>
        <mc:AlternateContent>
          <mc:Choice Requires="wps">
            <w:drawing>
              <wp:anchor distT="0" distB="0" distL="114300" distR="114300" simplePos="0" relativeHeight="251660288" behindDoc="0" locked="0" layoutInCell="0" allowOverlap="1" wp14:anchorId="30A620F8" wp14:editId="704B8EE0">
                <wp:simplePos x="0" y="0"/>
                <wp:positionH relativeFrom="column">
                  <wp:posOffset>4297680</wp:posOffset>
                </wp:positionH>
                <wp:positionV relativeFrom="paragraph">
                  <wp:posOffset>-175895</wp:posOffset>
                </wp:positionV>
                <wp:extent cx="457200" cy="1280160"/>
                <wp:effectExtent l="0" t="0" r="0" b="15240"/>
                <wp:wrapNone/>
                <wp:docPr id="1" name="Text Box 1"/>
                <wp:cNvGraphicFramePr/>
                <a:graphic xmlns:a="http://schemas.openxmlformats.org/drawingml/2006/main">
                  <a:graphicData uri="http://schemas.microsoft.com/office/word/2010/wordprocessingShape">
                    <wps:wsp>
                      <wps:cNvSpPr txBox="1"/>
                      <wps:spPr>
                        <a:xfrm>
                          <a:off x="0" y="0"/>
                          <a:ext cx="457200" cy="1280160"/>
                        </a:xfrm>
                        <a:prstGeom prst="rect">
                          <a:avLst/>
                        </a:prstGeom>
                        <a:solidFill>
                          <a:srgbClr val="FFFFFF"/>
                        </a:solidFill>
                        <a:ln>
                          <a:noFill/>
                        </a:ln>
                      </wps:spPr>
                      <wps:txbx>
                        <w:txbxContent>
                          <w:p w14:paraId="65B7D580" w14:textId="77777777" w:rsidR="00FC3969" w:rsidRDefault="00FC3969"/>
                        </w:txbxContent>
                      </wps:txbx>
                      <wps:bodyPr upright="1"/>
                    </wps:wsp>
                  </a:graphicData>
                </a:graphic>
              </wp:anchor>
            </w:drawing>
          </mc:Choice>
          <mc:Fallback>
            <w:pict>
              <v:shapetype w14:anchorId="30A620F8" id="_x0000_t202" coordsize="21600,21600" o:spt="202" path="m,l,21600r21600,l21600,xe">
                <v:stroke joinstyle="miter"/>
                <v:path gradientshapeok="t" o:connecttype="rect"/>
              </v:shapetype>
              <v:shape id="Text Box 1" o:spid="_x0000_s1026" type="#_x0000_t202" style="position:absolute;margin-left:338.4pt;margin-top:-13.85pt;width:36pt;height:10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" o:allowincell="f" stroked="f">
                <v:textbox>
                  <w:txbxContent>
                    <w:p w14:paraId="65B7D580" w14:textId="77777777" w:rsidR="00FC3969" w:rsidRDefault="00FC3969"/>
                  </w:txbxContent>
                </v:textbox>
              </v:shape>
            </w:pict>
          </mc:Fallback>
        </mc:AlternateContent>
      </w:r>
      <w:r>
        <w:rPr>
          <w:b/>
          <w:bCs/>
          <w:noProof/>
          <w:sz w:val="24"/>
          <w:szCs w:val="24"/>
          <w:lang w:eastAsia="hr-HR"/>
        </w:rPr>
        <mc:AlternateContent>
          <mc:Choice Requires="wps">
            <w:drawing>
              <wp:anchor distT="0" distB="0" distL="114300" distR="114300" simplePos="0" relativeHeight="251659264" behindDoc="0" locked="0" layoutInCell="0" allowOverlap="1" wp14:anchorId="1DB51DD7" wp14:editId="48467B53">
                <wp:simplePos x="0" y="0"/>
                <wp:positionH relativeFrom="column">
                  <wp:posOffset>4572000</wp:posOffset>
                </wp:positionH>
                <wp:positionV relativeFrom="paragraph">
                  <wp:posOffset>-84455</wp:posOffset>
                </wp:positionV>
                <wp:extent cx="1259840" cy="1196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9840" cy="1196975"/>
                        </a:xfrm>
                        <a:prstGeom prst="rect">
                          <a:avLst/>
                        </a:prstGeom>
                        <a:noFill/>
                        <a:ln>
                          <a:noFill/>
                        </a:ln>
                      </wps:spPr>
                      <wps:txbx>
                        <w:txbxContent>
                          <w:p w14:paraId="3B46F4F4" w14:textId="06A027EA" w:rsidR="00FC3969" w:rsidRDefault="00FC3969"/>
                        </w:txbxContent>
                      </wps:txbx>
                      <wps:bodyPr upright="1"/>
                    </wps:wsp>
                  </a:graphicData>
                </a:graphic>
              </wp:anchor>
            </w:drawing>
          </mc:Choice>
          <mc:Fallback>
            <w:pict>
              <v:shape w14:anchorId="1DB51DD7" id="Text Box 2" o:spid="_x0000_s1027" type="#_x0000_t202" style="position:absolute;margin-left:5in;margin-top:-6.65pt;width:99.2pt;height:9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" o:allowincell="f" filled="f" stroked="f">
                <v:textbox>
                  <w:txbxContent>
                    <w:p w14:paraId="3B46F4F4" w14:textId="06A027EA" w:rsidR="00FC3969" w:rsidRDefault="00FC3969"/>
                  </w:txbxContent>
                </v:textbox>
              </v:shape>
            </w:pict>
          </mc:Fallback>
        </mc:AlternateContent>
      </w:r>
      <w:r>
        <w:rPr>
          <w:b/>
          <w:bCs/>
          <w:sz w:val="24"/>
          <w:szCs w:val="24"/>
          <w:lang w:val="sv-SE"/>
        </w:rPr>
        <w:t xml:space="preserve">DNEVNI CENTAR ZA REHABILITACIJU </w:t>
      </w:r>
    </w:p>
    <w:p w14:paraId="0E8728ED" w14:textId="77777777" w:rsidR="00FC3969" w:rsidRDefault="00107CB3">
      <w:pPr>
        <w:spacing w:after="0"/>
        <w:rPr>
          <w:b/>
          <w:bCs/>
          <w:sz w:val="24"/>
          <w:szCs w:val="24"/>
          <w:lang w:val="sv-SE"/>
        </w:rPr>
      </w:pPr>
      <w:r>
        <w:rPr>
          <w:b/>
          <w:bCs/>
          <w:sz w:val="24"/>
          <w:szCs w:val="24"/>
          <w:lang w:val="sv-SE"/>
        </w:rPr>
        <w:t>VERUDA</w:t>
      </w:r>
      <w:r>
        <w:rPr>
          <w:b/>
          <w:bCs/>
          <w:sz w:val="24"/>
          <w:szCs w:val="24"/>
        </w:rPr>
        <w:t xml:space="preserve"> - PULA</w:t>
      </w:r>
    </w:p>
    <w:p w14:paraId="7239B5AE" w14:textId="77777777" w:rsidR="00FC3969" w:rsidRDefault="00107CB3">
      <w:pPr>
        <w:pStyle w:val="Zaglavlje"/>
        <w:spacing w:after="0"/>
        <w:rPr>
          <w:sz w:val="24"/>
          <w:szCs w:val="24"/>
        </w:rPr>
      </w:pPr>
      <w:r>
        <w:rPr>
          <w:sz w:val="24"/>
          <w:szCs w:val="24"/>
        </w:rPr>
        <w:t>Vidikovac 7, Pula</w:t>
      </w:r>
    </w:p>
    <w:p w14:paraId="2AFBCD26" w14:textId="77777777" w:rsidR="00FC3969" w:rsidRDefault="00107CB3">
      <w:pPr>
        <w:pStyle w:val="Zaglavlje"/>
        <w:spacing w:after="0"/>
        <w:rPr>
          <w:sz w:val="24"/>
          <w:szCs w:val="24"/>
        </w:rPr>
      </w:pPr>
      <w:r>
        <w:rPr>
          <w:sz w:val="24"/>
          <w:szCs w:val="24"/>
        </w:rPr>
        <w:t>Tel/fax 052/223-594;</w:t>
      </w:r>
    </w:p>
    <w:p w14:paraId="18F9E4E0" w14:textId="77777777" w:rsidR="00FC3969" w:rsidRDefault="00107CB3">
      <w:pPr>
        <w:pStyle w:val="Zaglavlje"/>
        <w:numPr>
          <w:ilvl w:val="0"/>
          <w:numId w:val="1"/>
        </w:numPr>
        <w:spacing w:after="0"/>
        <w:rPr>
          <w:sz w:val="24"/>
          <w:szCs w:val="24"/>
        </w:rPr>
      </w:pPr>
      <w:r>
        <w:rPr>
          <w:sz w:val="24"/>
          <w:szCs w:val="24"/>
          <w:lang w:val="de-DE"/>
        </w:rPr>
        <w:t xml:space="preserve">Mail: </w:t>
      </w:r>
      <w:hyperlink r:id="rId9" w:history="1">
        <w:r>
          <w:rPr>
            <w:rStyle w:val="Hiperveza"/>
            <w:sz w:val="24"/>
            <w:szCs w:val="24"/>
            <w:lang w:val="de-DE"/>
          </w:rPr>
          <w:t>info</w:t>
        </w:r>
        <w:r>
          <w:rPr>
            <w:rStyle w:val="Hiperveza"/>
            <w:sz w:val="24"/>
            <w:szCs w:val="24"/>
          </w:rPr>
          <w:t>.dczr@gmail.com</w:t>
        </w:r>
      </w:hyperlink>
      <w:r>
        <w:rPr>
          <w:sz w:val="24"/>
          <w:szCs w:val="24"/>
        </w:rPr>
        <w:t xml:space="preserve"> </w:t>
      </w:r>
    </w:p>
    <w:p w14:paraId="45CE3673" w14:textId="77777777" w:rsidR="00FC3969" w:rsidRDefault="00FC3969">
      <w:pPr>
        <w:rPr>
          <w:rFonts w:ascii="Calibri" w:hAnsi="Calibri" w:cs="Calibri"/>
          <w:b/>
          <w:sz w:val="24"/>
          <w:szCs w:val="24"/>
        </w:rPr>
      </w:pPr>
    </w:p>
    <w:p w14:paraId="130BA1C9" w14:textId="77777777" w:rsidR="00FC3969" w:rsidRDefault="00FC3969">
      <w:pPr>
        <w:pStyle w:val="pt-odlomakpopisa1"/>
        <w:spacing w:before="0" w:beforeAutospacing="0" w:after="0" w:afterAutospacing="0" w:line="28" w:lineRule="atLeast"/>
        <w:jc w:val="center"/>
        <w:rPr>
          <w:rStyle w:val="pt-defaultparagraphfont-000008"/>
          <w:rFonts w:asciiTheme="majorHAnsi" w:hAnsiTheme="majorHAnsi" w:cstheme="minorHAnsi"/>
          <w:b/>
          <w:sz w:val="28"/>
          <w:szCs w:val="28"/>
        </w:rPr>
      </w:pPr>
    </w:p>
    <w:p w14:paraId="404A64DA" w14:textId="77777777" w:rsidR="00FC3969" w:rsidRDefault="00FC3969">
      <w:pPr>
        <w:pStyle w:val="pt-odlomakpopisa1"/>
        <w:spacing w:before="0" w:beforeAutospacing="0" w:after="0" w:afterAutospacing="0" w:line="28" w:lineRule="atLeast"/>
        <w:jc w:val="center"/>
        <w:rPr>
          <w:rStyle w:val="pt-defaultparagraphfont-000008"/>
          <w:rFonts w:asciiTheme="majorHAnsi" w:hAnsiTheme="majorHAnsi" w:cstheme="minorHAnsi"/>
          <w:b/>
          <w:sz w:val="28"/>
          <w:szCs w:val="28"/>
        </w:rPr>
      </w:pPr>
    </w:p>
    <w:p w14:paraId="010BC7F4" w14:textId="77777777" w:rsidR="00FC3969" w:rsidRDefault="00107CB3">
      <w:pPr>
        <w:pStyle w:val="pt-odlomakpopisa1"/>
        <w:spacing w:before="0" w:beforeAutospacing="0" w:after="0" w:afterAutospacing="0" w:line="28" w:lineRule="atLeast"/>
        <w:jc w:val="center"/>
        <w:rPr>
          <w:rStyle w:val="pt-defaultparagraphfont-000008"/>
          <w:rFonts w:asciiTheme="minorHAnsi" w:hAnsiTheme="minorHAnsi" w:cstheme="minorHAnsi"/>
          <w:b/>
        </w:rPr>
      </w:pPr>
      <w:r>
        <w:rPr>
          <w:rStyle w:val="pt-defaultparagraphfont-000008"/>
          <w:rFonts w:asciiTheme="minorHAnsi" w:hAnsiTheme="minorHAnsi" w:cstheme="minorHAnsi"/>
          <w:b/>
        </w:rPr>
        <w:t>POZIV NA DOSTAVU PONUDA U POSTUPKU JEDNOSTAVNE NABAVE</w:t>
      </w:r>
    </w:p>
    <w:p w14:paraId="3C029D6E" w14:textId="77777777" w:rsidR="00FC3969" w:rsidRDefault="00FC3969">
      <w:pPr>
        <w:pStyle w:val="pt-odlomakpopisa1"/>
        <w:spacing w:before="0" w:beforeAutospacing="0" w:after="0" w:afterAutospacing="0" w:line="28" w:lineRule="atLeast"/>
        <w:jc w:val="center"/>
        <w:rPr>
          <w:rStyle w:val="pt-defaultparagraphfont-000008"/>
          <w:rFonts w:asciiTheme="minorHAnsi" w:hAnsiTheme="minorHAnsi" w:cstheme="minorHAnsi"/>
          <w:b/>
        </w:rPr>
      </w:pPr>
    </w:p>
    <w:p w14:paraId="4B5E4ADF" w14:textId="77777777" w:rsidR="00FC3969" w:rsidRDefault="00FC3969">
      <w:pPr>
        <w:pStyle w:val="pt-odlomakpopisa1"/>
        <w:spacing w:before="0" w:beforeAutospacing="0" w:after="0" w:afterAutospacing="0" w:line="28" w:lineRule="atLeast"/>
        <w:jc w:val="center"/>
        <w:rPr>
          <w:rStyle w:val="pt-defaultparagraphfont-000008"/>
          <w:rFonts w:asciiTheme="minorHAnsi" w:hAnsiTheme="minorHAnsi" w:cstheme="minorHAnsi"/>
          <w:b/>
        </w:rPr>
      </w:pPr>
    </w:p>
    <w:p w14:paraId="7B6B1E02" w14:textId="77777777" w:rsidR="00FC3969" w:rsidRDefault="00FC3969">
      <w:pPr>
        <w:pStyle w:val="pt-odlomakpopisa1"/>
        <w:spacing w:before="0" w:beforeAutospacing="0" w:after="0" w:afterAutospacing="0" w:line="28" w:lineRule="atLeast"/>
        <w:jc w:val="center"/>
        <w:rPr>
          <w:rStyle w:val="pt-defaultparagraphfont-000008"/>
          <w:rFonts w:asciiTheme="minorHAnsi" w:hAnsiTheme="minorHAnsi" w:cstheme="minorHAnsi"/>
          <w:b/>
        </w:rPr>
      </w:pPr>
    </w:p>
    <w:p w14:paraId="576B1A20" w14:textId="77777777" w:rsidR="00FC3969" w:rsidRDefault="00107CB3">
      <w:pPr>
        <w:pStyle w:val="Naslov2"/>
        <w:numPr>
          <w:ilvl w:val="0"/>
          <w:numId w:val="2"/>
        </w:numPr>
        <w:spacing w:after="240"/>
        <w:rPr>
          <w:rFonts w:asciiTheme="minorHAnsi" w:hAnsiTheme="minorHAnsi" w:cstheme="minorHAnsi"/>
          <w:b/>
          <w:bCs/>
          <w:color w:val="000000" w:themeColor="text1"/>
          <w:sz w:val="22"/>
          <w:szCs w:val="22"/>
        </w:rPr>
      </w:pPr>
      <w:bookmarkStart w:id="0" w:name="_Toc57212892"/>
      <w:r>
        <w:rPr>
          <w:rFonts w:asciiTheme="minorHAnsi" w:hAnsiTheme="minorHAnsi" w:cstheme="minorHAnsi"/>
          <w:b/>
          <w:bCs/>
          <w:color w:val="000000" w:themeColor="text1"/>
          <w:sz w:val="22"/>
          <w:szCs w:val="22"/>
        </w:rPr>
        <w:t>OPĆE INFORMACIJE</w:t>
      </w:r>
      <w:bookmarkEnd w:id="0"/>
    </w:p>
    <w:p w14:paraId="42D630F1"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Podaci o Naručitelju </w:t>
      </w:r>
    </w:p>
    <w:p w14:paraId="2E2055EF" w14:textId="77777777" w:rsidR="00FC3969" w:rsidRDefault="00107CB3">
      <w:pPr>
        <w:spacing w:after="0" w:line="28" w:lineRule="atLeast"/>
        <w:jc w:val="both"/>
        <w:rPr>
          <w:rFonts w:cstheme="minorHAnsi"/>
          <w:sz w:val="24"/>
          <w:szCs w:val="24"/>
        </w:rPr>
      </w:pPr>
      <w:r>
        <w:rPr>
          <w:rFonts w:cstheme="minorHAnsi"/>
          <w:b/>
          <w:bCs/>
          <w:sz w:val="24"/>
          <w:szCs w:val="24"/>
        </w:rPr>
        <w:t>Naziv Naručitelja</w:t>
      </w:r>
      <w:r>
        <w:rPr>
          <w:rFonts w:cstheme="minorHAnsi"/>
          <w:sz w:val="24"/>
          <w:szCs w:val="24"/>
        </w:rPr>
        <w:t xml:space="preserve">: Dnevni centar za rehabilitaciju </w:t>
      </w:r>
      <w:proofErr w:type="spellStart"/>
      <w:r>
        <w:rPr>
          <w:rFonts w:cstheme="minorHAnsi"/>
          <w:sz w:val="24"/>
          <w:szCs w:val="24"/>
        </w:rPr>
        <w:t>Veruda</w:t>
      </w:r>
      <w:proofErr w:type="spellEnd"/>
      <w:r>
        <w:rPr>
          <w:rFonts w:cstheme="minorHAnsi"/>
          <w:sz w:val="24"/>
          <w:szCs w:val="24"/>
        </w:rPr>
        <w:t xml:space="preserve"> - Pula </w:t>
      </w:r>
    </w:p>
    <w:p w14:paraId="298D7722" w14:textId="77777777" w:rsidR="00FC3969" w:rsidRDefault="00107CB3">
      <w:pPr>
        <w:spacing w:after="0" w:line="28" w:lineRule="atLeast"/>
        <w:jc w:val="both"/>
        <w:rPr>
          <w:rFonts w:cstheme="minorHAnsi"/>
          <w:sz w:val="24"/>
          <w:szCs w:val="24"/>
        </w:rPr>
      </w:pPr>
      <w:r>
        <w:rPr>
          <w:rFonts w:cstheme="minorHAnsi"/>
          <w:b/>
          <w:bCs/>
          <w:sz w:val="24"/>
          <w:szCs w:val="24"/>
        </w:rPr>
        <w:t>Sjedište:</w:t>
      </w:r>
      <w:r>
        <w:rPr>
          <w:rFonts w:cstheme="minorHAnsi"/>
          <w:sz w:val="24"/>
          <w:szCs w:val="24"/>
        </w:rPr>
        <w:t xml:space="preserve"> Vidikovac 7, 52100 Pula </w:t>
      </w:r>
    </w:p>
    <w:p w14:paraId="33202DDE" w14:textId="77777777" w:rsidR="00FC3969" w:rsidRDefault="00107CB3">
      <w:pPr>
        <w:spacing w:after="0" w:line="28" w:lineRule="atLeast"/>
        <w:jc w:val="both"/>
        <w:rPr>
          <w:rFonts w:cstheme="minorHAnsi"/>
          <w:sz w:val="24"/>
          <w:szCs w:val="24"/>
        </w:rPr>
      </w:pPr>
      <w:r>
        <w:rPr>
          <w:rFonts w:cstheme="minorHAnsi"/>
          <w:b/>
          <w:bCs/>
          <w:sz w:val="24"/>
          <w:szCs w:val="24"/>
        </w:rPr>
        <w:t>OIB</w:t>
      </w:r>
      <w:r>
        <w:rPr>
          <w:rFonts w:cstheme="minorHAnsi"/>
          <w:sz w:val="24"/>
          <w:szCs w:val="24"/>
        </w:rPr>
        <w:t>: 65555762680</w:t>
      </w:r>
    </w:p>
    <w:p w14:paraId="748C614E" w14:textId="77777777" w:rsidR="00FC3969" w:rsidRDefault="00107CB3">
      <w:pPr>
        <w:spacing w:after="0" w:line="28" w:lineRule="atLeast"/>
        <w:jc w:val="both"/>
        <w:rPr>
          <w:rFonts w:cstheme="minorHAnsi"/>
          <w:sz w:val="24"/>
          <w:szCs w:val="24"/>
        </w:rPr>
      </w:pPr>
      <w:r>
        <w:rPr>
          <w:rFonts w:cstheme="minorHAnsi"/>
          <w:b/>
          <w:bCs/>
          <w:sz w:val="24"/>
          <w:szCs w:val="24"/>
        </w:rPr>
        <w:t>Telefon</w:t>
      </w:r>
      <w:r>
        <w:rPr>
          <w:rFonts w:cstheme="minorHAnsi"/>
          <w:sz w:val="24"/>
          <w:szCs w:val="24"/>
        </w:rPr>
        <w:t>: 052/223-594</w:t>
      </w:r>
    </w:p>
    <w:p w14:paraId="487DEE5D" w14:textId="77777777" w:rsidR="00FC3969" w:rsidRDefault="00107CB3">
      <w:pPr>
        <w:spacing w:after="0" w:line="28" w:lineRule="atLeast"/>
        <w:jc w:val="both"/>
        <w:rPr>
          <w:rFonts w:cstheme="minorHAnsi"/>
          <w:sz w:val="24"/>
          <w:szCs w:val="24"/>
        </w:rPr>
      </w:pPr>
      <w:r>
        <w:rPr>
          <w:rFonts w:cstheme="minorHAnsi"/>
          <w:b/>
          <w:bCs/>
          <w:sz w:val="24"/>
          <w:szCs w:val="24"/>
        </w:rPr>
        <w:t>Adresa elektroničke pošte:</w:t>
      </w:r>
      <w:r>
        <w:rPr>
          <w:rFonts w:cstheme="minorHAnsi"/>
          <w:sz w:val="24"/>
          <w:szCs w:val="24"/>
        </w:rPr>
        <w:t xml:space="preserve"> </w:t>
      </w:r>
      <w:hyperlink r:id="rId10" w:history="1">
        <w:r>
          <w:rPr>
            <w:rStyle w:val="Hiperveza"/>
            <w:rFonts w:cstheme="minorHAnsi"/>
            <w:sz w:val="24"/>
            <w:szCs w:val="24"/>
          </w:rPr>
          <w:t>info.dczr@gmail.com</w:t>
        </w:r>
      </w:hyperlink>
      <w:r>
        <w:rPr>
          <w:rFonts w:cstheme="minorHAnsi"/>
          <w:sz w:val="24"/>
          <w:szCs w:val="24"/>
        </w:rPr>
        <w:t xml:space="preserve"> </w:t>
      </w:r>
    </w:p>
    <w:p w14:paraId="222E3789" w14:textId="77777777" w:rsidR="00FC3969" w:rsidRDefault="00107CB3">
      <w:pPr>
        <w:spacing w:after="0" w:line="28" w:lineRule="atLeast"/>
        <w:jc w:val="both"/>
        <w:rPr>
          <w:rFonts w:cstheme="minorHAnsi"/>
          <w:sz w:val="24"/>
          <w:szCs w:val="24"/>
        </w:rPr>
      </w:pPr>
      <w:r>
        <w:rPr>
          <w:rFonts w:cstheme="minorHAnsi"/>
          <w:b/>
          <w:bCs/>
          <w:sz w:val="24"/>
          <w:szCs w:val="24"/>
        </w:rPr>
        <w:t>Internetska adresa:</w:t>
      </w:r>
      <w:r>
        <w:rPr>
          <w:rFonts w:cstheme="minorHAnsi"/>
          <w:sz w:val="24"/>
          <w:szCs w:val="24"/>
        </w:rPr>
        <w:t xml:space="preserve"> </w:t>
      </w:r>
      <w:hyperlink r:id="rId11" w:history="1">
        <w:r>
          <w:rPr>
            <w:rStyle w:val="Hiperveza"/>
            <w:rFonts w:cstheme="minorHAnsi"/>
            <w:sz w:val="24"/>
            <w:szCs w:val="24"/>
          </w:rPr>
          <w:t>www.dczr-veruda.hr</w:t>
        </w:r>
      </w:hyperlink>
      <w:r>
        <w:rPr>
          <w:rFonts w:cstheme="minorHAnsi"/>
          <w:sz w:val="24"/>
          <w:szCs w:val="24"/>
        </w:rPr>
        <w:t xml:space="preserve"> </w:t>
      </w:r>
    </w:p>
    <w:p w14:paraId="62153CC3" w14:textId="77777777" w:rsidR="00FC3969" w:rsidRDefault="00FC3969">
      <w:pPr>
        <w:spacing w:after="0" w:line="28" w:lineRule="atLeast"/>
        <w:ind w:left="426"/>
        <w:jc w:val="both"/>
        <w:rPr>
          <w:rFonts w:cstheme="minorHAnsi"/>
          <w:sz w:val="24"/>
          <w:szCs w:val="24"/>
        </w:rPr>
      </w:pPr>
    </w:p>
    <w:p w14:paraId="63C8F54E" w14:textId="77777777" w:rsidR="00FC3969" w:rsidRDefault="00FC3969">
      <w:pPr>
        <w:spacing w:after="0" w:line="28" w:lineRule="atLeast"/>
        <w:ind w:left="426"/>
        <w:jc w:val="both"/>
        <w:rPr>
          <w:rFonts w:cstheme="minorHAnsi"/>
          <w:sz w:val="24"/>
          <w:szCs w:val="24"/>
        </w:rPr>
      </w:pPr>
    </w:p>
    <w:p w14:paraId="2F77A3D4"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bookmarkStart w:id="1" w:name="_Toc57212894"/>
      <w:r>
        <w:rPr>
          <w:rFonts w:asciiTheme="minorHAnsi" w:hAnsiTheme="minorHAnsi" w:cstheme="minorHAnsi"/>
          <w:b/>
          <w:bCs/>
          <w:color w:val="000000" w:themeColor="text1"/>
          <w:sz w:val="22"/>
          <w:szCs w:val="22"/>
        </w:rPr>
        <w:t>Podaci o osobi zaduženoj za komunikaciju s ponuditeljima</w:t>
      </w:r>
      <w:bookmarkEnd w:id="1"/>
    </w:p>
    <w:p w14:paraId="1BD4C479" w14:textId="77777777" w:rsidR="00FC3969" w:rsidRDefault="00107CB3">
      <w:pPr>
        <w:tabs>
          <w:tab w:val="left" w:pos="3052"/>
        </w:tabs>
        <w:spacing w:after="0" w:line="28" w:lineRule="atLeast"/>
        <w:jc w:val="both"/>
        <w:rPr>
          <w:rFonts w:cstheme="minorHAnsi"/>
          <w:sz w:val="24"/>
          <w:szCs w:val="24"/>
        </w:rPr>
      </w:pPr>
      <w:r>
        <w:rPr>
          <w:rFonts w:cstheme="minorHAnsi"/>
          <w:b/>
          <w:bCs/>
          <w:sz w:val="24"/>
          <w:szCs w:val="24"/>
        </w:rPr>
        <w:t>Kontakt osoba</w:t>
      </w:r>
      <w:r>
        <w:rPr>
          <w:rFonts w:cstheme="minorHAnsi"/>
          <w:sz w:val="24"/>
          <w:szCs w:val="24"/>
        </w:rPr>
        <w:t xml:space="preserve">: Samanta Radošević, Tajnica Dnevnog centra za rehabilitaciju </w:t>
      </w:r>
      <w:proofErr w:type="spellStart"/>
      <w:r>
        <w:rPr>
          <w:rFonts w:cstheme="minorHAnsi"/>
          <w:sz w:val="24"/>
          <w:szCs w:val="24"/>
        </w:rPr>
        <w:t>Veruda</w:t>
      </w:r>
      <w:proofErr w:type="spellEnd"/>
      <w:r>
        <w:rPr>
          <w:rFonts w:cstheme="minorHAnsi"/>
          <w:sz w:val="24"/>
          <w:szCs w:val="24"/>
        </w:rPr>
        <w:t xml:space="preserve"> - Pula </w:t>
      </w:r>
    </w:p>
    <w:p w14:paraId="4C82223C" w14:textId="77777777" w:rsidR="00FC3969" w:rsidRDefault="00107CB3">
      <w:pPr>
        <w:tabs>
          <w:tab w:val="left" w:pos="3052"/>
        </w:tabs>
        <w:spacing w:after="0" w:line="28" w:lineRule="atLeast"/>
        <w:rPr>
          <w:rFonts w:cstheme="minorHAnsi"/>
          <w:sz w:val="24"/>
          <w:szCs w:val="24"/>
        </w:rPr>
      </w:pPr>
      <w:r>
        <w:rPr>
          <w:rFonts w:cstheme="minorHAnsi"/>
          <w:b/>
          <w:bCs/>
          <w:sz w:val="24"/>
          <w:szCs w:val="24"/>
        </w:rPr>
        <w:t>Tel:</w:t>
      </w:r>
      <w:r>
        <w:rPr>
          <w:rFonts w:cstheme="minorHAnsi"/>
          <w:sz w:val="24"/>
          <w:szCs w:val="24"/>
        </w:rPr>
        <w:t xml:space="preserve"> 052/223-594, Mob: 099/594-0127 </w:t>
      </w:r>
    </w:p>
    <w:p w14:paraId="37682E31" w14:textId="77777777" w:rsidR="00FC3969" w:rsidRDefault="00107CB3">
      <w:pPr>
        <w:tabs>
          <w:tab w:val="left" w:pos="3052"/>
        </w:tabs>
        <w:spacing w:after="0" w:line="28" w:lineRule="atLeast"/>
        <w:rPr>
          <w:rFonts w:cstheme="minorHAnsi"/>
          <w:sz w:val="24"/>
          <w:szCs w:val="24"/>
        </w:rPr>
      </w:pPr>
      <w:r>
        <w:rPr>
          <w:rFonts w:cstheme="minorHAnsi"/>
          <w:b/>
          <w:bCs/>
          <w:sz w:val="24"/>
          <w:szCs w:val="24"/>
        </w:rPr>
        <w:t>E-mail:</w:t>
      </w:r>
      <w:r>
        <w:rPr>
          <w:rFonts w:cstheme="minorHAnsi"/>
          <w:sz w:val="24"/>
          <w:szCs w:val="24"/>
        </w:rPr>
        <w:t xml:space="preserve"> </w:t>
      </w:r>
      <w:hyperlink r:id="rId12" w:history="1">
        <w:r>
          <w:rPr>
            <w:rStyle w:val="Hiperveza"/>
            <w:rFonts w:cstheme="minorHAnsi"/>
            <w:sz w:val="24"/>
            <w:szCs w:val="24"/>
          </w:rPr>
          <w:t>info.dczr@gmail.com</w:t>
        </w:r>
      </w:hyperlink>
      <w:r>
        <w:rPr>
          <w:rFonts w:cstheme="minorHAnsi"/>
          <w:sz w:val="24"/>
          <w:szCs w:val="24"/>
        </w:rPr>
        <w:t xml:space="preserve"> </w:t>
      </w:r>
    </w:p>
    <w:p w14:paraId="32C0D1D6" w14:textId="77777777" w:rsidR="00FC3969" w:rsidRDefault="00FC3969">
      <w:pPr>
        <w:spacing w:after="0" w:line="28" w:lineRule="atLeast"/>
        <w:jc w:val="both"/>
        <w:rPr>
          <w:rFonts w:cstheme="minorHAnsi"/>
          <w:sz w:val="24"/>
          <w:szCs w:val="24"/>
        </w:rPr>
      </w:pPr>
    </w:p>
    <w:p w14:paraId="2A3ED5E3" w14:textId="77777777" w:rsidR="00FC3969" w:rsidRDefault="00FC3969">
      <w:pPr>
        <w:spacing w:after="0" w:line="28" w:lineRule="atLeast"/>
        <w:jc w:val="both"/>
        <w:rPr>
          <w:rFonts w:cstheme="minorHAnsi"/>
          <w:sz w:val="24"/>
          <w:szCs w:val="24"/>
        </w:rPr>
      </w:pPr>
    </w:p>
    <w:p w14:paraId="47A02275"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bookmarkStart w:id="2" w:name="_Toc57212895"/>
      <w:r>
        <w:rPr>
          <w:rFonts w:asciiTheme="minorHAnsi" w:hAnsiTheme="minorHAnsi" w:cstheme="minorHAnsi"/>
          <w:b/>
          <w:bCs/>
          <w:color w:val="000000" w:themeColor="text1"/>
          <w:sz w:val="22"/>
          <w:szCs w:val="22"/>
        </w:rPr>
        <w:t>Nabava se provodi temeljem</w:t>
      </w:r>
      <w:bookmarkEnd w:id="2"/>
    </w:p>
    <w:p w14:paraId="6556B6CC" w14:textId="11D49F6B" w:rsidR="00FC3969" w:rsidRDefault="00107CB3">
      <w:pPr>
        <w:spacing w:after="0" w:line="28" w:lineRule="atLeast"/>
        <w:jc w:val="both"/>
        <w:rPr>
          <w:rFonts w:cstheme="minorHAnsi"/>
          <w:sz w:val="24"/>
          <w:szCs w:val="24"/>
        </w:rPr>
      </w:pPr>
      <w:r>
        <w:rPr>
          <w:rFonts w:cstheme="minorHAnsi"/>
          <w:sz w:val="24"/>
          <w:szCs w:val="24"/>
        </w:rPr>
        <w:t xml:space="preserve">Pravilnika o provedbi postupka jednostavne nabave u Dnevnom centru </w:t>
      </w:r>
      <w:r w:rsidR="00685BF4">
        <w:rPr>
          <w:rFonts w:cstheme="minorHAnsi"/>
          <w:sz w:val="24"/>
          <w:szCs w:val="24"/>
        </w:rPr>
        <w:t xml:space="preserve">za rehabilitaciju </w:t>
      </w:r>
      <w:proofErr w:type="spellStart"/>
      <w:r w:rsidR="00685BF4">
        <w:rPr>
          <w:rFonts w:cstheme="minorHAnsi"/>
          <w:sz w:val="24"/>
          <w:szCs w:val="24"/>
        </w:rPr>
        <w:t>Veruda</w:t>
      </w:r>
      <w:proofErr w:type="spellEnd"/>
      <w:r w:rsidR="00685BF4">
        <w:rPr>
          <w:rFonts w:cstheme="minorHAnsi"/>
          <w:sz w:val="24"/>
          <w:szCs w:val="24"/>
        </w:rPr>
        <w:t xml:space="preserve"> – Pula. </w:t>
      </w:r>
    </w:p>
    <w:p w14:paraId="4AAF9736" w14:textId="77777777" w:rsidR="00FC3969" w:rsidRDefault="00FC3969">
      <w:pPr>
        <w:spacing w:after="0" w:line="28" w:lineRule="atLeast"/>
        <w:jc w:val="both"/>
        <w:rPr>
          <w:rFonts w:cstheme="minorHAnsi"/>
          <w:sz w:val="24"/>
          <w:szCs w:val="24"/>
        </w:rPr>
      </w:pPr>
    </w:p>
    <w:p w14:paraId="4D48CA0F"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bookmarkStart w:id="3" w:name="_Toc57212898"/>
      <w:r>
        <w:rPr>
          <w:rFonts w:asciiTheme="minorHAnsi" w:hAnsiTheme="minorHAnsi" w:cstheme="minorHAnsi"/>
          <w:b/>
          <w:bCs/>
          <w:color w:val="000000" w:themeColor="text1"/>
          <w:sz w:val="22"/>
          <w:szCs w:val="22"/>
        </w:rPr>
        <w:lastRenderedPageBreak/>
        <w:t>Popis gospodarskih subjekata s kojima je Naručitelj u sukobu interesa</w:t>
      </w:r>
      <w:bookmarkEnd w:id="3"/>
      <w:r>
        <w:rPr>
          <w:rFonts w:asciiTheme="minorHAnsi" w:hAnsiTheme="minorHAnsi" w:cstheme="minorHAnsi"/>
          <w:b/>
          <w:bCs/>
          <w:color w:val="000000" w:themeColor="text1"/>
          <w:sz w:val="22"/>
          <w:szCs w:val="22"/>
        </w:rPr>
        <w:t xml:space="preserve"> u smislu čl. 76. Zakona o javnoj nabavi (“NN” broj: 120/16)</w:t>
      </w:r>
    </w:p>
    <w:p w14:paraId="7C7C7A50" w14:textId="77777777" w:rsidR="00FC3969" w:rsidRDefault="00107CB3">
      <w:pPr>
        <w:jc w:val="both"/>
      </w:pPr>
      <w:r>
        <w:rPr>
          <w:rFonts w:cstheme="minorHAnsi"/>
          <w:color w:val="000000" w:themeColor="text1"/>
        </w:rPr>
        <w:t>Ne postoje gospodarski subjekti s kojima je Naručitelj u sukobu interesa u smislu čl. 76. Zakona o javnoj nabavi (“NN” broj: 120/16)</w:t>
      </w:r>
    </w:p>
    <w:p w14:paraId="4E6D393C" w14:textId="77777777" w:rsidR="00FC3969" w:rsidRDefault="00FC3969">
      <w:pPr>
        <w:spacing w:after="0" w:line="28" w:lineRule="atLeast"/>
        <w:jc w:val="both"/>
        <w:rPr>
          <w:rFonts w:cstheme="minorHAnsi"/>
          <w:sz w:val="24"/>
          <w:szCs w:val="24"/>
        </w:rPr>
      </w:pPr>
    </w:p>
    <w:p w14:paraId="4F399B79"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Podaci o postupku javne nabave </w:t>
      </w:r>
    </w:p>
    <w:p w14:paraId="700E4147" w14:textId="77777777" w:rsidR="00FC3969" w:rsidRDefault="00107CB3">
      <w:pPr>
        <w:jc w:val="both"/>
        <w:rPr>
          <w:rFonts w:eastAsiaTheme="majorEastAsia" w:cstheme="minorHAnsi"/>
          <w:color w:val="000000" w:themeColor="text1"/>
        </w:rPr>
      </w:pPr>
      <w:r>
        <w:rPr>
          <w:rFonts w:eastAsiaTheme="majorEastAsia" w:cstheme="minorHAnsi"/>
          <w:b/>
          <w:bCs/>
          <w:color w:val="000000" w:themeColor="text1"/>
        </w:rPr>
        <w:t>Vrsta postupka javne nabave</w:t>
      </w:r>
      <w:r>
        <w:rPr>
          <w:rFonts w:eastAsiaTheme="majorEastAsia" w:cstheme="minorHAnsi"/>
          <w:color w:val="000000" w:themeColor="text1"/>
        </w:rPr>
        <w:t xml:space="preserve">: Jednostavna nabava temeljem članka 15. Zakona o javnoj nabavi. </w:t>
      </w:r>
    </w:p>
    <w:p w14:paraId="6DEB3634" w14:textId="65575821" w:rsidR="00FC3969" w:rsidRDefault="00107CB3">
      <w:pPr>
        <w:jc w:val="both"/>
        <w:rPr>
          <w:rFonts w:eastAsiaTheme="majorEastAsia" w:cstheme="minorHAnsi"/>
        </w:rPr>
      </w:pPr>
      <w:r>
        <w:rPr>
          <w:rFonts w:eastAsiaTheme="majorEastAsia" w:cstheme="minorHAnsi"/>
        </w:rPr>
        <w:t xml:space="preserve">Naručitelj provodi postupak nabave </w:t>
      </w:r>
      <w:r w:rsidR="00C463F9">
        <w:rPr>
          <w:rFonts w:eastAsiaTheme="majorEastAsia" w:cstheme="minorHAnsi"/>
        </w:rPr>
        <w:t xml:space="preserve">slanjem poziva na dostavu ponuda na adrese minimalno tri (3) gospodarska subjekta te </w:t>
      </w:r>
      <w:r>
        <w:rPr>
          <w:rFonts w:eastAsiaTheme="majorEastAsia" w:cstheme="minorHAnsi"/>
        </w:rPr>
        <w:t xml:space="preserve">objavom </w:t>
      </w:r>
      <w:r w:rsidR="00AC53AD">
        <w:rPr>
          <w:rFonts w:eastAsiaTheme="majorEastAsia" w:cstheme="minorHAnsi"/>
        </w:rPr>
        <w:t xml:space="preserve">poziva </w:t>
      </w:r>
      <w:r w:rsidR="0007213B">
        <w:rPr>
          <w:rFonts w:eastAsiaTheme="majorEastAsia" w:cstheme="minorHAnsi"/>
        </w:rPr>
        <w:t xml:space="preserve">na web stranici Centra: </w:t>
      </w:r>
      <w:hyperlink r:id="rId13" w:history="1">
        <w:r>
          <w:rPr>
            <w:rStyle w:val="Hiperveza"/>
            <w:rFonts w:eastAsiaTheme="majorEastAsia" w:cstheme="minorHAnsi"/>
            <w:color w:val="auto"/>
          </w:rPr>
          <w:t>www.dczr-veruda.hr</w:t>
        </w:r>
      </w:hyperlink>
      <w:r>
        <w:rPr>
          <w:rFonts w:eastAsiaTheme="majorEastAsia" w:cstheme="minorHAnsi"/>
        </w:rPr>
        <w:t xml:space="preserve">, s ciljem sklapanja ugovora o jednostavnoj nabavi </w:t>
      </w:r>
      <w:r w:rsidR="00D502BA">
        <w:rPr>
          <w:rFonts w:eastAsiaTheme="majorEastAsia" w:cstheme="minorHAnsi"/>
        </w:rPr>
        <w:t xml:space="preserve">robe </w:t>
      </w:r>
      <w:r>
        <w:rPr>
          <w:rFonts w:eastAsiaTheme="majorEastAsia" w:cstheme="minorHAnsi"/>
        </w:rPr>
        <w:t xml:space="preserve">s najpovoljnijim ponuditeljem sukladno uvjetima i zahtjevima iz dokumentacije za nadmetanje. </w:t>
      </w:r>
    </w:p>
    <w:p w14:paraId="738B5B01" w14:textId="77777777" w:rsidR="00FC3969" w:rsidRDefault="00107CB3">
      <w:pPr>
        <w:jc w:val="both"/>
        <w:rPr>
          <w:rFonts w:eastAsiaTheme="majorEastAsia" w:cstheme="minorHAnsi"/>
          <w:b/>
          <w:bCs/>
          <w:color w:val="FF0000"/>
        </w:rPr>
      </w:pPr>
      <w:r>
        <w:rPr>
          <w:rFonts w:eastAsiaTheme="majorEastAsia" w:cstheme="minorHAnsi"/>
          <w:b/>
          <w:bCs/>
          <w:color w:val="000000" w:themeColor="text1"/>
        </w:rPr>
        <w:t>Procijenjena v</w:t>
      </w:r>
      <w:r w:rsidR="005258DC">
        <w:rPr>
          <w:rFonts w:eastAsiaTheme="majorEastAsia" w:cstheme="minorHAnsi"/>
          <w:b/>
          <w:bCs/>
          <w:color w:val="000000" w:themeColor="text1"/>
        </w:rPr>
        <w:t>r</w:t>
      </w:r>
      <w:r>
        <w:rPr>
          <w:rFonts w:eastAsiaTheme="majorEastAsia" w:cstheme="minorHAnsi"/>
          <w:b/>
          <w:bCs/>
          <w:color w:val="000000" w:themeColor="text1"/>
        </w:rPr>
        <w:t>ijednost nabave</w:t>
      </w:r>
      <w:r>
        <w:rPr>
          <w:rFonts w:eastAsiaTheme="majorEastAsia" w:cstheme="minorHAnsi"/>
          <w:color w:val="000000" w:themeColor="text1"/>
        </w:rPr>
        <w:t xml:space="preserve">: </w:t>
      </w:r>
      <w:r w:rsidR="00B14653">
        <w:rPr>
          <w:rFonts w:eastAsiaTheme="majorEastAsia" w:cstheme="minorHAnsi"/>
          <w:b/>
          <w:bCs/>
        </w:rPr>
        <w:t>106</w:t>
      </w:r>
      <w:r>
        <w:rPr>
          <w:rFonts w:eastAsiaTheme="majorEastAsia" w:cstheme="minorHAnsi"/>
          <w:b/>
          <w:bCs/>
        </w:rPr>
        <w:t xml:space="preserve">.400,00 kuna bez PDV-a. </w:t>
      </w:r>
    </w:p>
    <w:p w14:paraId="442F27C7" w14:textId="77777777" w:rsidR="00FC3969" w:rsidRDefault="00107CB3">
      <w:pPr>
        <w:jc w:val="both"/>
        <w:rPr>
          <w:rFonts w:eastAsiaTheme="majorEastAsia" w:cstheme="minorHAnsi"/>
        </w:rPr>
      </w:pPr>
      <w:r>
        <w:rPr>
          <w:rFonts w:eastAsiaTheme="majorEastAsia" w:cstheme="minorHAnsi"/>
          <w:b/>
          <w:bCs/>
        </w:rPr>
        <w:t xml:space="preserve">Vrsta Ugovora o javnoj nabavi: </w:t>
      </w:r>
      <w:r>
        <w:rPr>
          <w:rFonts w:eastAsiaTheme="majorEastAsia" w:cstheme="minorHAnsi"/>
        </w:rPr>
        <w:t xml:space="preserve">Ugovor o jednostavnoj nabavi robe. </w:t>
      </w:r>
    </w:p>
    <w:p w14:paraId="6015E538" w14:textId="77777777" w:rsidR="00FC3969" w:rsidRDefault="00FC3969">
      <w:pPr>
        <w:jc w:val="both"/>
        <w:rPr>
          <w:rFonts w:eastAsiaTheme="majorEastAsia" w:cstheme="minorHAnsi"/>
        </w:rPr>
      </w:pPr>
    </w:p>
    <w:p w14:paraId="43076CB6"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bookmarkStart w:id="4" w:name="_Toc57212900"/>
      <w:r>
        <w:rPr>
          <w:rFonts w:asciiTheme="minorHAnsi" w:hAnsiTheme="minorHAnsi" w:cstheme="minorHAnsi"/>
          <w:b/>
          <w:bCs/>
          <w:color w:val="000000" w:themeColor="text1"/>
          <w:sz w:val="22"/>
          <w:szCs w:val="22"/>
        </w:rPr>
        <w:t>Objašnjenja i izmjene poziva na dostavu ponuda</w:t>
      </w:r>
      <w:bookmarkEnd w:id="4"/>
    </w:p>
    <w:p w14:paraId="0EE25404" w14:textId="36969959" w:rsidR="003D5080" w:rsidRDefault="00107CB3">
      <w:pPr>
        <w:jc w:val="both"/>
        <w:rPr>
          <w:rFonts w:eastAsiaTheme="majorEastAsia" w:cstheme="minorHAnsi"/>
          <w:color w:val="000000" w:themeColor="text1"/>
        </w:rPr>
      </w:pPr>
      <w:r>
        <w:rPr>
          <w:rFonts w:eastAsiaTheme="majorEastAsia" w:cstheme="minorHAnsi"/>
          <w:color w:val="000000" w:themeColor="text1"/>
        </w:rPr>
        <w:t xml:space="preserve">Za vrijeme roka za dostavu ponuda, gospodarski subjekti mogu zahtijevati dodatne informacije vezane </w:t>
      </w:r>
      <w:r w:rsidR="002F6278">
        <w:rPr>
          <w:rFonts w:eastAsiaTheme="majorEastAsia" w:cstheme="minorHAnsi"/>
          <w:color w:val="000000" w:themeColor="text1"/>
        </w:rPr>
        <w:t>uz</w:t>
      </w:r>
      <w:r>
        <w:rPr>
          <w:rFonts w:eastAsiaTheme="majorEastAsia" w:cstheme="minorHAnsi"/>
          <w:color w:val="000000" w:themeColor="text1"/>
        </w:rPr>
        <w:t xml:space="preserve"> Poziv na dostavu ponud</w:t>
      </w:r>
      <w:r w:rsidR="003A1F74">
        <w:rPr>
          <w:rFonts w:eastAsiaTheme="majorEastAsia" w:cstheme="minorHAnsi"/>
          <w:color w:val="000000" w:themeColor="text1"/>
        </w:rPr>
        <w:t xml:space="preserve">a. </w:t>
      </w:r>
    </w:p>
    <w:p w14:paraId="1BBDE563" w14:textId="14E5B915" w:rsidR="00FC3969" w:rsidRDefault="00107CB3">
      <w:pPr>
        <w:jc w:val="both"/>
      </w:pPr>
      <w:r>
        <w:t>Zahtjevi za pojašnjenjem dostavljaju se isključivo</w:t>
      </w:r>
      <w:r w:rsidR="00DD2F31">
        <w:t xml:space="preserve"> </w:t>
      </w:r>
      <w:r>
        <w:t xml:space="preserve">elektronskim putem na e-mail adresu kontakt osobe navedene u točki 1.2. Poziva: </w:t>
      </w:r>
      <w:hyperlink r:id="rId14" w:history="1">
        <w:r>
          <w:rPr>
            <w:rStyle w:val="Hiperveza"/>
          </w:rPr>
          <w:t>info.dczr@gmail.com</w:t>
        </w:r>
      </w:hyperlink>
    </w:p>
    <w:p w14:paraId="5F15C8D3" w14:textId="77777777" w:rsidR="00FC3969" w:rsidRDefault="003D5080">
      <w:pPr>
        <w:spacing w:after="0" w:line="28" w:lineRule="atLeast"/>
        <w:jc w:val="both"/>
        <w:rPr>
          <w:rFonts w:cstheme="minorHAnsi"/>
          <w:sz w:val="24"/>
          <w:szCs w:val="24"/>
        </w:rPr>
      </w:pPr>
      <w:r>
        <w:t xml:space="preserve">Sva objašnjena i izmjene vezane uz Poziv na dostavu ponude Naručitelj će dostaviti gospodarskim subjektima putem elektroničke pošte najkasnije </w:t>
      </w:r>
      <w:r w:rsidR="00FA14EC">
        <w:t xml:space="preserve">sljedećeg radnog dana od dana zaprimanja zahtjeva za pojašnjenjem. </w:t>
      </w:r>
    </w:p>
    <w:p w14:paraId="61C639E4" w14:textId="77777777" w:rsidR="00FC3969" w:rsidRDefault="00FC3969">
      <w:pPr>
        <w:spacing w:after="0" w:line="28" w:lineRule="atLeast"/>
        <w:jc w:val="both"/>
        <w:rPr>
          <w:rFonts w:cstheme="minorHAnsi"/>
          <w:sz w:val="24"/>
          <w:szCs w:val="24"/>
        </w:rPr>
      </w:pPr>
    </w:p>
    <w:p w14:paraId="0CA7C79B" w14:textId="77777777" w:rsidR="00FC3969" w:rsidRDefault="00FC3969">
      <w:pPr>
        <w:spacing w:after="0" w:line="28" w:lineRule="atLeast"/>
        <w:jc w:val="both"/>
        <w:rPr>
          <w:rFonts w:cstheme="minorHAnsi"/>
          <w:sz w:val="24"/>
          <w:szCs w:val="24"/>
        </w:rPr>
      </w:pPr>
    </w:p>
    <w:p w14:paraId="1BA14EBE" w14:textId="77777777" w:rsidR="00FC3969" w:rsidRDefault="00107CB3">
      <w:pPr>
        <w:pStyle w:val="Naslov2"/>
        <w:numPr>
          <w:ilvl w:val="0"/>
          <w:numId w:val="2"/>
        </w:numPr>
        <w:spacing w:after="24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PODACI O PREDMETU NABAVE</w:t>
      </w:r>
    </w:p>
    <w:p w14:paraId="165682CD" w14:textId="77777777" w:rsidR="00FC3969" w:rsidRDefault="00107CB3">
      <w:pPr>
        <w:pStyle w:val="Naslov3"/>
        <w:numPr>
          <w:ilvl w:val="1"/>
          <w:numId w:val="2"/>
        </w:numPr>
        <w:spacing w:after="240"/>
        <w:rPr>
          <w:rFonts w:asciiTheme="minorHAnsi" w:hAnsiTheme="minorHAnsi" w:cstheme="minorHAnsi"/>
          <w:b/>
          <w:bCs/>
          <w:color w:val="000000" w:themeColor="text1"/>
          <w:sz w:val="22"/>
          <w:szCs w:val="22"/>
        </w:rPr>
      </w:pPr>
      <w:bookmarkStart w:id="5" w:name="_Toc57212902"/>
      <w:r>
        <w:rPr>
          <w:rFonts w:asciiTheme="minorHAnsi" w:hAnsiTheme="minorHAnsi" w:cstheme="minorHAnsi"/>
          <w:b/>
          <w:bCs/>
          <w:color w:val="000000" w:themeColor="text1"/>
          <w:sz w:val="22"/>
          <w:szCs w:val="22"/>
        </w:rPr>
        <w:t>Opis predmeta nabave</w:t>
      </w:r>
      <w:bookmarkEnd w:id="5"/>
    </w:p>
    <w:p w14:paraId="0FE4B9A8" w14:textId="77777777" w:rsidR="00FC3969" w:rsidRDefault="00107CB3">
      <w:pPr>
        <w:jc w:val="both"/>
      </w:pPr>
      <w:r>
        <w:rPr>
          <w:rFonts w:cstheme="minorHAnsi"/>
        </w:rPr>
        <w:t>Predmet nabave je n</w:t>
      </w:r>
      <w:r>
        <w:t xml:space="preserve">abava </w:t>
      </w:r>
      <w:r>
        <w:rPr>
          <w:b/>
          <w:bCs/>
          <w:i/>
          <w:iCs/>
        </w:rPr>
        <w:t xml:space="preserve">novog osobnog vozila za potrebe provedbe projektnih aktivnosti u sklopu projekta UP.02.2.2.15.0078 “Rana podrška i rehabilitacija djeci s razvojnim rizicima i teškoćama u razvoju - Zajedno rastimo sigurnije” sufinanciranog iz Europskog socijalnog fonda, </w:t>
      </w:r>
      <w:r>
        <w:t xml:space="preserve">sukladno tehničkim karakteristikama i ostalim traženim uvjetima naznačenima u ovoj dokumentaciji za nadmetanje. </w:t>
      </w:r>
    </w:p>
    <w:p w14:paraId="54B32AEF" w14:textId="77777777" w:rsidR="00FC3969" w:rsidRDefault="00107CB3">
      <w:pPr>
        <w:numPr>
          <w:ilvl w:val="1"/>
          <w:numId w:val="2"/>
        </w:numPr>
        <w:jc w:val="both"/>
        <w:rPr>
          <w:b/>
          <w:bCs/>
        </w:rPr>
      </w:pPr>
      <w:r>
        <w:rPr>
          <w:b/>
          <w:bCs/>
        </w:rPr>
        <w:t xml:space="preserve">Opis i oznaka grupa predmeta nabave </w:t>
      </w:r>
    </w:p>
    <w:p w14:paraId="788308E8" w14:textId="77777777" w:rsidR="00FC3969" w:rsidRDefault="00107CB3">
      <w:pPr>
        <w:jc w:val="both"/>
      </w:pPr>
      <w:r>
        <w:t>Predmet nabave nije pod</w:t>
      </w:r>
      <w:r w:rsidR="00955EEE">
        <w:t>i</w:t>
      </w:r>
      <w:r>
        <w:t xml:space="preserve">jeljen na grupe, ponuda mora biti jedinstvena za cjelokupni predmet nabave. </w:t>
      </w:r>
    </w:p>
    <w:p w14:paraId="55F9B6AC" w14:textId="77777777" w:rsidR="00FC3969" w:rsidRDefault="00107CB3">
      <w:pPr>
        <w:jc w:val="both"/>
        <w:rPr>
          <w:rFonts w:eastAsia="SimSun" w:cs="SimSun"/>
        </w:rPr>
      </w:pPr>
      <w:r>
        <w:t xml:space="preserve">CPV oznaka predmeta nabave: </w:t>
      </w:r>
      <w:r>
        <w:rPr>
          <w:rFonts w:ascii="SimSun" w:eastAsia="SimSun" w:hAnsi="SimSun" w:cs="SimSun"/>
          <w:sz w:val="24"/>
          <w:szCs w:val="24"/>
        </w:rPr>
        <w:t xml:space="preserve">: </w:t>
      </w:r>
      <w:r>
        <w:rPr>
          <w:rFonts w:eastAsia="SimSun" w:cs="SimSun"/>
        </w:rPr>
        <w:t>34110000-1 Osobni automobili</w:t>
      </w:r>
    </w:p>
    <w:p w14:paraId="67E1D134" w14:textId="77777777" w:rsidR="00EC6006" w:rsidRDefault="00EC6006">
      <w:pPr>
        <w:jc w:val="both"/>
        <w:rPr>
          <w:rFonts w:eastAsia="SimSun" w:cs="SimSun"/>
        </w:rPr>
      </w:pPr>
      <w:r>
        <w:rPr>
          <w:rFonts w:eastAsia="SimSun" w:cs="SimSun"/>
        </w:rPr>
        <w:t xml:space="preserve">Ponuditelj je obvezan Naručitelju ponuditi isključivo novo i nekorišteno vozilo. </w:t>
      </w:r>
    </w:p>
    <w:p w14:paraId="5D23A73C" w14:textId="77777777" w:rsidR="00FE5861" w:rsidRDefault="00FE5861">
      <w:pPr>
        <w:jc w:val="both"/>
        <w:rPr>
          <w:rFonts w:eastAsia="SimSun" w:cs="SimSun"/>
        </w:rPr>
      </w:pPr>
    </w:p>
    <w:p w14:paraId="3BD37F7D" w14:textId="77777777" w:rsidR="00FE5861" w:rsidRDefault="00FE5861">
      <w:pPr>
        <w:jc w:val="both"/>
      </w:pPr>
    </w:p>
    <w:p w14:paraId="3BCEBE52" w14:textId="77777777" w:rsidR="00FC3969" w:rsidRDefault="00107CB3">
      <w:pPr>
        <w:numPr>
          <w:ilvl w:val="1"/>
          <w:numId w:val="2"/>
        </w:numPr>
        <w:jc w:val="both"/>
        <w:rPr>
          <w:b/>
          <w:bCs/>
        </w:rPr>
      </w:pPr>
      <w:r>
        <w:rPr>
          <w:b/>
          <w:bCs/>
        </w:rPr>
        <w:t xml:space="preserve"> Količina predmeta nabave </w:t>
      </w:r>
    </w:p>
    <w:p w14:paraId="05681673" w14:textId="2A3E72AE" w:rsidR="0024277B" w:rsidRPr="008B2FF2" w:rsidRDefault="003C5042" w:rsidP="0024277B">
      <w:pPr>
        <w:jc w:val="both"/>
        <w:rPr>
          <w:bCs/>
        </w:rPr>
      </w:pPr>
      <w:r>
        <w:rPr>
          <w:bCs/>
        </w:rPr>
        <w:t xml:space="preserve">Naručitelj nabavlja jedno (1) novo osobno vozilo. Količina predmeta nabave navedena je u </w:t>
      </w:r>
      <w:r w:rsidR="0024277B" w:rsidRPr="0024277B">
        <w:rPr>
          <w:bCs/>
        </w:rPr>
        <w:t xml:space="preserve">Troškovniku </w:t>
      </w:r>
      <w:r w:rsidR="008B2FF2">
        <w:rPr>
          <w:bCs/>
        </w:rPr>
        <w:t>(Obrazac 2) i teh</w:t>
      </w:r>
      <w:r w:rsidR="00B446E7">
        <w:rPr>
          <w:bCs/>
        </w:rPr>
        <w:t>n</w:t>
      </w:r>
      <w:r w:rsidR="008B2FF2">
        <w:rPr>
          <w:bCs/>
        </w:rPr>
        <w:t>ičk</w:t>
      </w:r>
      <w:r>
        <w:rPr>
          <w:bCs/>
        </w:rPr>
        <w:t>oj</w:t>
      </w:r>
      <w:r w:rsidR="008B2FF2">
        <w:rPr>
          <w:bCs/>
        </w:rPr>
        <w:t xml:space="preserve"> specifikacij</w:t>
      </w:r>
      <w:r>
        <w:rPr>
          <w:bCs/>
        </w:rPr>
        <w:t>i</w:t>
      </w:r>
      <w:r w:rsidR="008B2FF2">
        <w:rPr>
          <w:bCs/>
        </w:rPr>
        <w:t xml:space="preserve"> (</w:t>
      </w:r>
      <w:r w:rsidR="00497176">
        <w:rPr>
          <w:bCs/>
        </w:rPr>
        <w:t>Prilog</w:t>
      </w:r>
      <w:r w:rsidR="008B2FF2">
        <w:rPr>
          <w:bCs/>
        </w:rPr>
        <w:t xml:space="preserve"> 3) koj</w:t>
      </w:r>
      <w:r w:rsidR="00587475">
        <w:rPr>
          <w:bCs/>
        </w:rPr>
        <w:t>i</w:t>
      </w:r>
      <w:r w:rsidR="008B2FF2">
        <w:rPr>
          <w:bCs/>
        </w:rPr>
        <w:t xml:space="preserve"> su sastavni dio ovog Poziva. </w:t>
      </w:r>
    </w:p>
    <w:p w14:paraId="0531F845" w14:textId="7D0663B5" w:rsidR="00FC3969" w:rsidRDefault="00107CB3">
      <w:pPr>
        <w:numPr>
          <w:ilvl w:val="1"/>
          <w:numId w:val="2"/>
        </w:numPr>
        <w:jc w:val="both"/>
        <w:rPr>
          <w:b/>
          <w:bCs/>
        </w:rPr>
      </w:pPr>
      <w:r>
        <w:rPr>
          <w:b/>
          <w:bCs/>
        </w:rPr>
        <w:t>Tehničk</w:t>
      </w:r>
      <w:r w:rsidR="00663396">
        <w:rPr>
          <w:b/>
          <w:bCs/>
        </w:rPr>
        <w:t>a</w:t>
      </w:r>
      <w:r>
        <w:rPr>
          <w:b/>
          <w:bCs/>
        </w:rPr>
        <w:t xml:space="preserve"> specifikacij</w:t>
      </w:r>
      <w:r w:rsidR="00663396">
        <w:rPr>
          <w:b/>
          <w:bCs/>
        </w:rPr>
        <w:t>a</w:t>
      </w:r>
      <w:r>
        <w:rPr>
          <w:b/>
          <w:bCs/>
        </w:rPr>
        <w:t xml:space="preserve"> </w:t>
      </w:r>
    </w:p>
    <w:p w14:paraId="690E3546" w14:textId="459063B1" w:rsidR="00682C31" w:rsidRDefault="008B2FF2">
      <w:pPr>
        <w:pStyle w:val="Tijeloteksta"/>
        <w:jc w:val="both"/>
      </w:pPr>
      <w:r>
        <w:t>Tehnička specifikac</w:t>
      </w:r>
      <w:r w:rsidR="00AF7133">
        <w:t xml:space="preserve">ija predmeta nabave - </w:t>
      </w:r>
      <w:r w:rsidR="00497176">
        <w:t>PRILOG</w:t>
      </w:r>
      <w:r w:rsidR="00AF7133">
        <w:t xml:space="preserve"> 3</w:t>
      </w:r>
      <w:r>
        <w:t xml:space="preserve">, je sastavni dio ovog Poziva za prikupljanje ponuda, ali se dostavlja i objavljuje kao odvojeni dokument u </w:t>
      </w:r>
      <w:r w:rsidR="00AF7133">
        <w:t>Word f</w:t>
      </w:r>
      <w:r>
        <w:t xml:space="preserve">ormatu (kao </w:t>
      </w:r>
      <w:r w:rsidR="00AF7133">
        <w:t xml:space="preserve">Word </w:t>
      </w:r>
      <w:proofErr w:type="spellStart"/>
      <w:r>
        <w:t>Document</w:t>
      </w:r>
      <w:proofErr w:type="spellEnd"/>
      <w:r>
        <w:t>).</w:t>
      </w:r>
    </w:p>
    <w:p w14:paraId="611E9FD6" w14:textId="77777777" w:rsidR="00FC3969" w:rsidRDefault="00107CB3">
      <w:pPr>
        <w:numPr>
          <w:ilvl w:val="1"/>
          <w:numId w:val="2"/>
        </w:numPr>
        <w:jc w:val="both"/>
        <w:rPr>
          <w:b/>
          <w:bCs/>
        </w:rPr>
      </w:pPr>
      <w:r>
        <w:rPr>
          <w:b/>
          <w:bCs/>
        </w:rPr>
        <w:t xml:space="preserve">Troškovnik </w:t>
      </w:r>
    </w:p>
    <w:p w14:paraId="6EE6B3AC" w14:textId="77777777" w:rsidR="00FC3969" w:rsidRDefault="00107CB3" w:rsidP="00D621F8">
      <w:pPr>
        <w:spacing w:before="16" w:after="0" w:line="260" w:lineRule="exact"/>
        <w:jc w:val="both"/>
        <w:rPr>
          <w:rFonts w:cs="Times New Roman"/>
        </w:rPr>
      </w:pPr>
      <w:r>
        <w:rPr>
          <w:rFonts w:cs="Times New Roman"/>
        </w:rPr>
        <w:t xml:space="preserve">Troškovnik u </w:t>
      </w:r>
      <w:proofErr w:type="spellStart"/>
      <w:r>
        <w:rPr>
          <w:rFonts w:cs="Times New Roman"/>
        </w:rPr>
        <w:t>exel</w:t>
      </w:r>
      <w:proofErr w:type="spellEnd"/>
      <w:r>
        <w:rPr>
          <w:rFonts w:cs="Times New Roman"/>
        </w:rPr>
        <w:t xml:space="preserve"> formatu čini sastav</w:t>
      </w:r>
      <w:r w:rsidR="00785923">
        <w:rPr>
          <w:rFonts w:cs="Times New Roman"/>
        </w:rPr>
        <w:t>ni dio Poziva na dostavu ponuda (Obrazac 2)</w:t>
      </w:r>
      <w:r w:rsidR="00DF41FF">
        <w:rPr>
          <w:rFonts w:cs="Times New Roman"/>
        </w:rPr>
        <w:t xml:space="preserve">. </w:t>
      </w:r>
    </w:p>
    <w:p w14:paraId="2387D302" w14:textId="77777777" w:rsidR="00FC3969" w:rsidRDefault="00107CB3" w:rsidP="00D621F8">
      <w:pPr>
        <w:spacing w:before="16" w:after="0" w:line="260" w:lineRule="exact"/>
        <w:jc w:val="both"/>
        <w:rPr>
          <w:rFonts w:cs="Times New Roman"/>
        </w:rPr>
      </w:pPr>
      <w:r>
        <w:rPr>
          <w:rFonts w:cs="Times New Roman"/>
        </w:rPr>
        <w:t>Ponuditelj je dužan ispuniti sve stavke iz Troškovnika na način kako je utvrđeno u Troškovniku.</w:t>
      </w:r>
    </w:p>
    <w:p w14:paraId="2CB6C194" w14:textId="77777777" w:rsidR="00FC3969" w:rsidRDefault="00107CB3" w:rsidP="00D621F8">
      <w:pPr>
        <w:spacing w:before="16" w:after="0" w:line="260" w:lineRule="exact"/>
        <w:jc w:val="both"/>
        <w:rPr>
          <w:rFonts w:cs="Times New Roman"/>
        </w:rPr>
      </w:pPr>
      <w:r>
        <w:rPr>
          <w:rFonts w:cs="Times New Roman"/>
        </w:rPr>
        <w:t>Troškovnik mora biti potpisan i ovjeren pečatom od strane ponuditelja.</w:t>
      </w:r>
    </w:p>
    <w:p w14:paraId="7F81C86C" w14:textId="77777777" w:rsidR="00E60869" w:rsidRDefault="00E60869" w:rsidP="00D621F8">
      <w:pPr>
        <w:spacing w:before="16" w:after="0" w:line="260" w:lineRule="exact"/>
        <w:jc w:val="both"/>
        <w:rPr>
          <w:rFonts w:cs="Times New Roman"/>
        </w:rPr>
      </w:pPr>
    </w:p>
    <w:p w14:paraId="30F2DCFC" w14:textId="77777777" w:rsidR="00E60869" w:rsidRDefault="00E60869" w:rsidP="00D621F8">
      <w:pPr>
        <w:spacing w:before="16" w:after="0" w:line="260" w:lineRule="exact"/>
        <w:jc w:val="both"/>
        <w:rPr>
          <w:rFonts w:cs="Times New Roman"/>
          <w:b/>
        </w:rPr>
      </w:pPr>
    </w:p>
    <w:p w14:paraId="7A2D1A09" w14:textId="77777777" w:rsidR="00FC3969" w:rsidRDefault="00FC3969">
      <w:pPr>
        <w:jc w:val="both"/>
        <w:rPr>
          <w:b/>
          <w:bCs/>
        </w:rPr>
      </w:pPr>
    </w:p>
    <w:p w14:paraId="2F4CD237" w14:textId="77777777" w:rsidR="00FC3969" w:rsidRDefault="00107CB3">
      <w:pPr>
        <w:numPr>
          <w:ilvl w:val="1"/>
          <w:numId w:val="2"/>
        </w:numPr>
        <w:jc w:val="both"/>
        <w:rPr>
          <w:b/>
          <w:bCs/>
        </w:rPr>
      </w:pPr>
      <w:r>
        <w:rPr>
          <w:b/>
          <w:bCs/>
        </w:rPr>
        <w:lastRenderedPageBreak/>
        <w:t>Mjesto isporuke predmeta nabave</w:t>
      </w:r>
    </w:p>
    <w:p w14:paraId="31296711" w14:textId="77777777" w:rsidR="00A705F2" w:rsidRDefault="004E4F15">
      <w:pPr>
        <w:jc w:val="both"/>
      </w:pPr>
      <w:r>
        <w:t xml:space="preserve">Prodajno mjesto gospodarskog subjekta. </w:t>
      </w:r>
    </w:p>
    <w:p w14:paraId="1C63BDE9" w14:textId="77777777" w:rsidR="00FC3969" w:rsidRDefault="00107CB3">
      <w:pPr>
        <w:jc w:val="both"/>
      </w:pPr>
      <w:r>
        <w:t xml:space="preserve">Prilikom </w:t>
      </w:r>
      <w:r w:rsidR="00A705F2">
        <w:t xml:space="preserve">preuzimanja vozila </w:t>
      </w:r>
      <w:r>
        <w:t>uz primopredajni zapisnik isporučuje se i jamstveni list te sva dokumentacija vozila (upute o korištenju, izjava o sukladnosti vozila i sl.)</w:t>
      </w:r>
    </w:p>
    <w:p w14:paraId="3979591B" w14:textId="633C3936" w:rsidR="00FC3969" w:rsidRDefault="00107CB3">
      <w:pPr>
        <w:jc w:val="both"/>
        <w:rPr>
          <w:rFonts w:eastAsia="SimSun" w:cs="SimSun"/>
        </w:rPr>
      </w:pPr>
      <w:r>
        <w:rPr>
          <w:rFonts w:eastAsia="SimSun" w:cs="SimSun"/>
        </w:rPr>
        <w:t>Prilikom isporuke obavit će se pregled vozila. Tom prilikom Naručitelj i odabrani ponuditelj sastavit će zapisnik o primopredaji</w:t>
      </w:r>
      <w:r w:rsidR="00D9108F">
        <w:rPr>
          <w:rFonts w:eastAsia="SimSun" w:cs="SimSun"/>
        </w:rPr>
        <w:t xml:space="preserve">. </w:t>
      </w:r>
      <w:r>
        <w:rPr>
          <w:rFonts w:eastAsia="SimSun" w:cs="SimSun"/>
        </w:rPr>
        <w:t xml:space="preserve">Odabrani ponuditelj obvezan je prilikom isporuke priložiti: </w:t>
      </w:r>
    </w:p>
    <w:p w14:paraId="7F5C22E4" w14:textId="77777777" w:rsidR="00FC3969" w:rsidRDefault="00107CB3">
      <w:pPr>
        <w:jc w:val="both"/>
        <w:rPr>
          <w:rFonts w:eastAsia="SimSun" w:cs="SimSun"/>
        </w:rPr>
      </w:pPr>
      <w:r>
        <w:rPr>
          <w:rFonts w:eastAsia="SimSun" w:cs="SimSun"/>
        </w:rPr>
        <w:t xml:space="preserve">- dokumentaciju potrebnu za registraciju vozila, </w:t>
      </w:r>
    </w:p>
    <w:p w14:paraId="0CB38CFA" w14:textId="77777777" w:rsidR="00FC3969" w:rsidRDefault="00107CB3">
      <w:pPr>
        <w:jc w:val="both"/>
        <w:rPr>
          <w:rFonts w:eastAsia="SimSun" w:cs="SimSun"/>
        </w:rPr>
      </w:pPr>
      <w:r>
        <w:rPr>
          <w:rFonts w:eastAsia="SimSun" w:cs="SimSun"/>
        </w:rPr>
        <w:t xml:space="preserve">- uputu o korištenju vozila na hrvatskom jeziku, </w:t>
      </w:r>
    </w:p>
    <w:p w14:paraId="5F3407F1" w14:textId="77777777" w:rsidR="00FC3969" w:rsidRDefault="00107CB3">
      <w:pPr>
        <w:jc w:val="both"/>
        <w:rPr>
          <w:rFonts w:eastAsia="SimSun" w:cs="SimSun"/>
        </w:rPr>
      </w:pPr>
      <w:r>
        <w:rPr>
          <w:rFonts w:eastAsia="SimSun" w:cs="SimSun"/>
        </w:rPr>
        <w:t xml:space="preserve">- dva ključa </w:t>
      </w:r>
    </w:p>
    <w:p w14:paraId="6A21A06F" w14:textId="77777777" w:rsidR="00FC3969" w:rsidRDefault="00107CB3">
      <w:pPr>
        <w:jc w:val="both"/>
        <w:rPr>
          <w:rFonts w:eastAsia="SimSun" w:cs="SimSun"/>
        </w:rPr>
      </w:pPr>
      <w:r>
        <w:rPr>
          <w:rFonts w:eastAsia="SimSun" w:cs="SimSun"/>
        </w:rPr>
        <w:t xml:space="preserve">- servisnu i jamstvenu knjižicu (plan servisiranja), </w:t>
      </w:r>
    </w:p>
    <w:p w14:paraId="2714B424" w14:textId="77777777" w:rsidR="00FC3969" w:rsidRDefault="00107CB3">
      <w:pPr>
        <w:jc w:val="both"/>
        <w:rPr>
          <w:rFonts w:eastAsia="SimSun" w:cs="SimSun"/>
        </w:rPr>
      </w:pPr>
      <w:r>
        <w:rPr>
          <w:rFonts w:eastAsia="SimSun" w:cs="SimSun"/>
        </w:rPr>
        <w:t xml:space="preserve">- dokumentaciju o tehničkim podacima potrebnim za registraciju novog vozila. </w:t>
      </w:r>
    </w:p>
    <w:p w14:paraId="08C70EDD" w14:textId="77777777" w:rsidR="00652A35" w:rsidRDefault="00652A35">
      <w:pPr>
        <w:jc w:val="both"/>
        <w:rPr>
          <w:rFonts w:eastAsia="SimSun" w:cs="SimSun"/>
        </w:rPr>
      </w:pPr>
    </w:p>
    <w:p w14:paraId="69A888DC" w14:textId="7E2C690D" w:rsidR="00FC3969" w:rsidRDefault="00107CB3">
      <w:pPr>
        <w:numPr>
          <w:ilvl w:val="1"/>
          <w:numId w:val="2"/>
        </w:numPr>
        <w:jc w:val="both"/>
        <w:rPr>
          <w:b/>
          <w:bCs/>
        </w:rPr>
      </w:pPr>
      <w:r>
        <w:rPr>
          <w:b/>
          <w:bCs/>
        </w:rPr>
        <w:t>Rok isporuke predmeta nabave</w:t>
      </w:r>
    </w:p>
    <w:p w14:paraId="0197594F" w14:textId="52EB8F83" w:rsidR="00E833A6" w:rsidRPr="00652A35" w:rsidRDefault="00107CB3">
      <w:pPr>
        <w:jc w:val="both"/>
        <w:rPr>
          <w:rFonts w:eastAsia="SimSun" w:cs="SimSun"/>
          <w:b/>
        </w:rPr>
      </w:pPr>
      <w:r>
        <w:rPr>
          <w:rFonts w:eastAsia="SimSun" w:cs="SimSun"/>
        </w:rPr>
        <w:t>Odabrani ponuditelj obvezuje se isporu</w:t>
      </w:r>
      <w:r w:rsidR="0071733E">
        <w:rPr>
          <w:rFonts w:eastAsia="SimSun" w:cs="SimSun"/>
        </w:rPr>
        <w:t xml:space="preserve">čiti predmet nabave u roku </w:t>
      </w:r>
      <w:r w:rsidR="0071733E" w:rsidRPr="00652A35">
        <w:rPr>
          <w:rFonts w:eastAsia="SimSun" w:cs="SimSun"/>
        </w:rPr>
        <w:t xml:space="preserve">od </w:t>
      </w:r>
      <w:r w:rsidR="009C57A8" w:rsidRPr="00652A35">
        <w:rPr>
          <w:rFonts w:eastAsia="SimSun" w:cs="SimSun"/>
          <w:b/>
        </w:rPr>
        <w:t>10</w:t>
      </w:r>
      <w:r w:rsidRPr="00652A35">
        <w:rPr>
          <w:rFonts w:eastAsia="SimSun" w:cs="SimSun"/>
          <w:b/>
        </w:rPr>
        <w:t xml:space="preserve"> dana od dana potpisa</w:t>
      </w:r>
      <w:r w:rsidR="00E833A6" w:rsidRPr="00652A35">
        <w:rPr>
          <w:rFonts w:eastAsia="SimSun" w:cs="SimSun"/>
          <w:b/>
        </w:rPr>
        <w:t xml:space="preserve"> ugovora o nabavi robe (kupnji).</w:t>
      </w:r>
    </w:p>
    <w:p w14:paraId="2649E911" w14:textId="77777777" w:rsidR="00FC3969" w:rsidRDefault="00107CB3">
      <w:pPr>
        <w:jc w:val="both"/>
        <w:rPr>
          <w:rFonts w:eastAsia="SimSun" w:cs="SimSun"/>
        </w:rPr>
      </w:pPr>
      <w:r>
        <w:rPr>
          <w:rFonts w:eastAsia="SimSun" w:cs="SimSun"/>
        </w:rPr>
        <w:t>Rok isporuke predmeta nabave bitan je sastojak ugovora o nabavi.</w:t>
      </w:r>
    </w:p>
    <w:p w14:paraId="5558D630" w14:textId="77777777" w:rsidR="00B27005" w:rsidRDefault="00B27005">
      <w:pPr>
        <w:jc w:val="both"/>
        <w:rPr>
          <w:rFonts w:eastAsia="SimSun" w:cs="SimSun"/>
        </w:rPr>
      </w:pPr>
    </w:p>
    <w:p w14:paraId="0F235682" w14:textId="77777777" w:rsidR="00FC3969" w:rsidRDefault="00107CB3">
      <w:pPr>
        <w:numPr>
          <w:ilvl w:val="0"/>
          <w:numId w:val="2"/>
        </w:numPr>
        <w:jc w:val="both"/>
        <w:rPr>
          <w:rFonts w:cs="Times New Roman"/>
          <w:b/>
          <w:bCs/>
        </w:rPr>
      </w:pPr>
      <w:r>
        <w:rPr>
          <w:rFonts w:cs="Times New Roman"/>
          <w:b/>
          <w:bCs/>
        </w:rPr>
        <w:t>KRITERIJI ZA KVALITATIVNI ODABIR GOSPODARSKOG SUBJEKTA</w:t>
      </w:r>
    </w:p>
    <w:p w14:paraId="59BA782A" w14:textId="77777777" w:rsidR="00FC3969" w:rsidRDefault="00107CB3">
      <w:pPr>
        <w:numPr>
          <w:ilvl w:val="1"/>
          <w:numId w:val="2"/>
        </w:numPr>
        <w:jc w:val="both"/>
      </w:pPr>
      <w:r>
        <w:rPr>
          <w:rFonts w:cs="Times New Roman"/>
          <w:b/>
          <w:bCs/>
        </w:rPr>
        <w:t xml:space="preserve">OSNOVE ZA ISKLJUČENJE GOSPODARSKOG SUBJEKTA </w:t>
      </w:r>
    </w:p>
    <w:p w14:paraId="61A0D346" w14:textId="77777777" w:rsidR="00FC3969" w:rsidRDefault="00107CB3">
      <w:pPr>
        <w:numPr>
          <w:ilvl w:val="2"/>
          <w:numId w:val="2"/>
        </w:numPr>
        <w:jc w:val="both"/>
      </w:pPr>
      <w:r>
        <w:t xml:space="preserve">Sukladno odredbama članka 251. ZJN 2016, Naručitelj je </w:t>
      </w:r>
      <w:r>
        <w:rPr>
          <w:u w:val="single"/>
        </w:rPr>
        <w:t>obvezan</w:t>
      </w:r>
      <w:r>
        <w:t xml:space="preserve"> isključiti gospodarskog subjekta iz postupka javne nabave u bilo kojem trenutku tijekom postupka javne nabave, ako utvrdi da postoje sljedeće osnove za isključenje:</w:t>
      </w:r>
    </w:p>
    <w:p w14:paraId="71D61378" w14:textId="77777777" w:rsidR="00FC3969" w:rsidRDefault="00107CB3">
      <w:pPr>
        <w:numPr>
          <w:ilvl w:val="0"/>
          <w:numId w:val="3"/>
        </w:numPr>
        <w:jc w:val="both"/>
        <w:rPr>
          <w:rFonts w:cs="Times New Roman"/>
          <w:color w:val="000000"/>
        </w:rPr>
      </w:pPr>
      <w:r>
        <w:rPr>
          <w:rFonts w:cs="Times New Roman"/>
          <w:color w:val="000000"/>
        </w:rPr>
        <w:t xml:space="preserve">da je gospodarski subjekt koji ima poslovni </w:t>
      </w:r>
      <w:proofErr w:type="spellStart"/>
      <w:r>
        <w:rPr>
          <w:rFonts w:cs="Times New Roman"/>
          <w:color w:val="000000"/>
        </w:rPr>
        <w:t>nastan</w:t>
      </w:r>
      <w:proofErr w:type="spellEnd"/>
      <w:r>
        <w:rPr>
          <w:rFonts w:cs="Times New Roman"/>
          <w:color w:val="000000"/>
        </w:rPr>
        <w:t xml:space="preserve"> u Republici Hrvatskoj ili osoba koja je član upravnog, upravljačkog ili nadzornog tijela ili ima ovlasti zastupanja, donošenja odluka ili nadzora toga gospodarskog subjekta i koja je državljanin Republike Hrvatske </w:t>
      </w:r>
      <w:r>
        <w:rPr>
          <w:rFonts w:cs="Times New Roman"/>
          <w:b/>
          <w:bCs/>
          <w:i/>
          <w:iCs/>
          <w:color w:val="000000"/>
        </w:rPr>
        <w:t>pravomoćnom presudom osuđena za:</w:t>
      </w:r>
    </w:p>
    <w:p w14:paraId="3CB5EA24" w14:textId="77777777" w:rsidR="00FC3969" w:rsidRDefault="00107CB3">
      <w:pPr>
        <w:numPr>
          <w:ilvl w:val="0"/>
          <w:numId w:val="4"/>
        </w:numPr>
        <w:jc w:val="both"/>
        <w:rPr>
          <w:rFonts w:cs="Times New Roman"/>
          <w:color w:val="000000"/>
        </w:rPr>
      </w:pPr>
      <w:r>
        <w:rPr>
          <w:rFonts w:cs="Times New Roman"/>
          <w:color w:val="000000"/>
        </w:rPr>
        <w:lastRenderedPageBreak/>
        <w:t>sudjelovanje u zločinačkoj organizaciji, na temelju</w:t>
      </w:r>
    </w:p>
    <w:p w14:paraId="29E4312F" w14:textId="77777777" w:rsidR="00FC3969" w:rsidRDefault="00107CB3">
      <w:pPr>
        <w:numPr>
          <w:ilvl w:val="0"/>
          <w:numId w:val="5"/>
        </w:numPr>
        <w:jc w:val="both"/>
        <w:rPr>
          <w:rFonts w:cs="Times New Roman"/>
          <w:color w:val="000000"/>
        </w:rPr>
      </w:pPr>
      <w:r>
        <w:rPr>
          <w:rFonts w:cs="Times New Roman"/>
          <w:color w:val="000000"/>
        </w:rPr>
        <w:t>članka 328. (zločinačko udruženje) i članka 329. (počinjenje kaznenog djela u sastavu zločinačkog udruženja) Kaznenog zakona</w:t>
      </w:r>
    </w:p>
    <w:p w14:paraId="323FA434" w14:textId="77777777" w:rsidR="00FC3969" w:rsidRDefault="00107CB3">
      <w:pPr>
        <w:numPr>
          <w:ilvl w:val="0"/>
          <w:numId w:val="5"/>
        </w:numPr>
        <w:jc w:val="both"/>
        <w:rPr>
          <w:rFonts w:cs="Times New Roman"/>
          <w:color w:val="000000"/>
        </w:rPr>
      </w:pPr>
      <w:r>
        <w:rPr>
          <w:rFonts w:cs="Times New Roman"/>
          <w:color w:val="000000"/>
        </w:rPr>
        <w:t>članka 333. (udruživanje za počinjenje kaznenih djela), iz Kaznenog zakona („Narodne novine“, broj 110/97, 27/98, 50/00, 129/00, 51/01, 111/03, 190/03, 105/04, 84/05, 71/06, 110/07, 152/08, 57/11, 77/11 i 143/12)</w:t>
      </w:r>
    </w:p>
    <w:p w14:paraId="4E8B2759" w14:textId="77777777" w:rsidR="00FC3969" w:rsidRDefault="00107CB3">
      <w:pPr>
        <w:numPr>
          <w:ilvl w:val="0"/>
          <w:numId w:val="4"/>
        </w:numPr>
        <w:jc w:val="both"/>
        <w:rPr>
          <w:rFonts w:cs="Times New Roman"/>
          <w:color w:val="000000"/>
        </w:rPr>
      </w:pPr>
      <w:r>
        <w:rPr>
          <w:rFonts w:cs="Times New Roman"/>
          <w:color w:val="000000"/>
        </w:rPr>
        <w:t>korupciju, na temelju</w:t>
      </w:r>
    </w:p>
    <w:p w14:paraId="4B714D9C" w14:textId="77777777" w:rsidR="00FC3969" w:rsidRDefault="00107CB3">
      <w:pPr>
        <w:numPr>
          <w:ilvl w:val="0"/>
          <w:numId w:val="5"/>
        </w:numPr>
        <w:jc w:val="both"/>
        <w:rPr>
          <w:rFonts w:cs="Times New Roman"/>
          <w:color w:val="000000"/>
        </w:rPr>
      </w:pPr>
      <w:r>
        <w:rPr>
          <w:rFonts w:cs="Times New Roman"/>
          <w:color w:val="00000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4BB3010" w14:textId="77777777" w:rsidR="00FC3969" w:rsidRDefault="00107CB3">
      <w:pPr>
        <w:numPr>
          <w:ilvl w:val="0"/>
          <w:numId w:val="5"/>
        </w:numPr>
        <w:jc w:val="both"/>
        <w:rPr>
          <w:rFonts w:cs="Times New Roman"/>
          <w:color w:val="000000"/>
        </w:rPr>
      </w:pPr>
      <w:r>
        <w:rPr>
          <w:rFonts w:cs="Times New Roman"/>
          <w:color w:val="00000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2FC036" w14:textId="77777777" w:rsidR="00FC3969" w:rsidRDefault="00107CB3">
      <w:pPr>
        <w:numPr>
          <w:ilvl w:val="0"/>
          <w:numId w:val="4"/>
        </w:numPr>
        <w:jc w:val="both"/>
        <w:rPr>
          <w:rFonts w:cs="Times New Roman"/>
          <w:color w:val="000000"/>
        </w:rPr>
      </w:pPr>
      <w:r>
        <w:rPr>
          <w:rFonts w:cs="Times New Roman"/>
          <w:color w:val="000000"/>
        </w:rPr>
        <w:t>prijevaru, na temelju</w:t>
      </w:r>
    </w:p>
    <w:p w14:paraId="3EEDAEC2" w14:textId="77777777" w:rsidR="00FC3969" w:rsidRDefault="00107CB3">
      <w:pPr>
        <w:numPr>
          <w:ilvl w:val="0"/>
          <w:numId w:val="5"/>
        </w:numPr>
        <w:jc w:val="both"/>
        <w:rPr>
          <w:rFonts w:cs="Times New Roman"/>
          <w:color w:val="000000"/>
        </w:rPr>
      </w:pPr>
      <w:r>
        <w:rPr>
          <w:rFonts w:cs="Times New Roman"/>
          <w:color w:val="000000"/>
        </w:rPr>
        <w:t>članka 236. (prijevara), članka 247. (prijevara u gospodarskom poslovanju), članka 256. (utaja poreza ili carine) i članka 258. (subvencijska prijevara) Kaznenog zakona</w:t>
      </w:r>
    </w:p>
    <w:p w14:paraId="3F562BD5" w14:textId="77777777" w:rsidR="00FC3969" w:rsidRDefault="00107CB3">
      <w:pPr>
        <w:numPr>
          <w:ilvl w:val="0"/>
          <w:numId w:val="5"/>
        </w:numPr>
        <w:jc w:val="both"/>
        <w:rPr>
          <w:rFonts w:cs="Times New Roman"/>
          <w:color w:val="000000"/>
        </w:rPr>
      </w:pPr>
      <w:r>
        <w:rPr>
          <w:rFonts w:cs="Times New Roman"/>
          <w:color w:val="000000"/>
        </w:rPr>
        <w:t>članka 224. (prijevara), članka 293. (prijevara u gospodarskom poslovanju) i članka 286. (utaja poreza i drugih davanja) iz Kaznenog zakona („Narodne novine“, broj 110/97, 27/98, 50/00, 129/00, 51/01, 111/03, 190/03, 105/04, 84/05, 71/06, 110/07, 152/08, 57/11, 77/11 i 143/12)</w:t>
      </w:r>
    </w:p>
    <w:p w14:paraId="67DC5EAC" w14:textId="77777777" w:rsidR="00FC3969" w:rsidRDefault="00107CB3">
      <w:pPr>
        <w:numPr>
          <w:ilvl w:val="0"/>
          <w:numId w:val="4"/>
        </w:numPr>
        <w:jc w:val="both"/>
        <w:rPr>
          <w:rFonts w:cs="Times New Roman"/>
          <w:color w:val="000000"/>
        </w:rPr>
      </w:pPr>
      <w:r>
        <w:rPr>
          <w:rFonts w:cs="Times New Roman"/>
          <w:color w:val="000000"/>
        </w:rPr>
        <w:t>terorizam ili kaznena djela povezana s terorističkim aktivnostima, na temelju</w:t>
      </w:r>
    </w:p>
    <w:p w14:paraId="0C28D397" w14:textId="77777777" w:rsidR="00FC3969" w:rsidRDefault="00107CB3">
      <w:pPr>
        <w:numPr>
          <w:ilvl w:val="0"/>
          <w:numId w:val="5"/>
        </w:numPr>
        <w:jc w:val="both"/>
        <w:rPr>
          <w:rFonts w:cs="Times New Roman"/>
          <w:color w:val="000000"/>
        </w:rPr>
      </w:pPr>
      <w:r>
        <w:rPr>
          <w:rFonts w:cs="Times New Roman"/>
          <w:color w:val="000000"/>
        </w:rPr>
        <w:t>članka 97. (terorizam), članka 99. (javno poticanje na terorizam), članka 100. (novačenje za terorizam), članka 101. (obuka za terorizam) i članka 102. (terorističko udruženje) Kaznenog zakona</w:t>
      </w:r>
    </w:p>
    <w:p w14:paraId="1549F8F0" w14:textId="77777777" w:rsidR="00FC3969" w:rsidRDefault="00107CB3">
      <w:pPr>
        <w:numPr>
          <w:ilvl w:val="0"/>
          <w:numId w:val="5"/>
        </w:numPr>
        <w:jc w:val="both"/>
        <w:rPr>
          <w:rFonts w:cs="Times New Roman"/>
          <w:color w:val="000000"/>
        </w:rPr>
      </w:pPr>
      <w:r>
        <w:rPr>
          <w:rFonts w:cs="Times New Roman"/>
          <w:color w:val="000000"/>
        </w:rPr>
        <w:lastRenderedPageBreak/>
        <w:t>članka 169. (terorizam), članka 169.a (javno poticanje na terorizam) i članka 169.b (novačenje i obuka za terorizam) iz Kaznenog zakona („Narodne novine“, broj 110/97, 27/98, 50/00, 129/00, 51/01, 111/03, 190/03, 105/04, 84/05, 71/06, 110/07, 152/08, 57/11, 77/11 i 143/12)</w:t>
      </w:r>
    </w:p>
    <w:p w14:paraId="51DFC1B0" w14:textId="77777777" w:rsidR="00FC3969" w:rsidRDefault="00107CB3">
      <w:pPr>
        <w:numPr>
          <w:ilvl w:val="0"/>
          <w:numId w:val="4"/>
        </w:numPr>
        <w:jc w:val="both"/>
        <w:rPr>
          <w:rFonts w:cs="Times New Roman"/>
          <w:color w:val="000000"/>
        </w:rPr>
      </w:pPr>
      <w:r>
        <w:rPr>
          <w:rFonts w:cs="Times New Roman"/>
          <w:color w:val="000000"/>
        </w:rPr>
        <w:t>pranje novca ili financiranje terorizma, na temelju</w:t>
      </w:r>
    </w:p>
    <w:p w14:paraId="1016671D" w14:textId="77777777" w:rsidR="00FC3969" w:rsidRDefault="00107CB3">
      <w:pPr>
        <w:numPr>
          <w:ilvl w:val="0"/>
          <w:numId w:val="5"/>
        </w:numPr>
        <w:jc w:val="both"/>
        <w:rPr>
          <w:rFonts w:cs="Times New Roman"/>
          <w:color w:val="000000"/>
        </w:rPr>
      </w:pPr>
      <w:r>
        <w:rPr>
          <w:rFonts w:cs="Times New Roman"/>
          <w:color w:val="000000"/>
        </w:rPr>
        <w:t>članka 98. (financiranje terorizma) i članka 265. (pranje novca) Kaznenog zakona</w:t>
      </w:r>
    </w:p>
    <w:p w14:paraId="467E85C6" w14:textId="77777777" w:rsidR="00FC3969" w:rsidRDefault="00107CB3">
      <w:pPr>
        <w:numPr>
          <w:ilvl w:val="0"/>
          <w:numId w:val="5"/>
        </w:numPr>
        <w:jc w:val="both"/>
        <w:rPr>
          <w:rFonts w:cs="Times New Roman"/>
          <w:color w:val="000000"/>
        </w:rPr>
      </w:pPr>
      <w:r>
        <w:rPr>
          <w:rFonts w:cs="Times New Roman"/>
          <w:color w:val="000000"/>
        </w:rPr>
        <w:t>članka 279. (pranje novca) iz Kaznenog zakona („Narodne novine“, broj 110/97, 27/98, 50/00, 129/00, 51/01, 111/03, 190/03, 105/04, 84/05, 71/06, 110/07, 152/08, 57/11, 77/11 i 143/12)</w:t>
      </w:r>
    </w:p>
    <w:p w14:paraId="7EDEC648" w14:textId="77777777" w:rsidR="00FC3969" w:rsidRDefault="00107CB3">
      <w:pPr>
        <w:numPr>
          <w:ilvl w:val="0"/>
          <w:numId w:val="4"/>
        </w:numPr>
        <w:jc w:val="both"/>
        <w:rPr>
          <w:rFonts w:cs="Times New Roman"/>
          <w:color w:val="000000"/>
        </w:rPr>
      </w:pPr>
      <w:r>
        <w:rPr>
          <w:rFonts w:cs="Times New Roman"/>
          <w:color w:val="000000"/>
        </w:rPr>
        <w:t>dječji rad ili druge oblike trgovanja ljudima, na temelju</w:t>
      </w:r>
    </w:p>
    <w:p w14:paraId="4369B1B1" w14:textId="77777777" w:rsidR="00FC3969" w:rsidRDefault="00107CB3">
      <w:pPr>
        <w:numPr>
          <w:ilvl w:val="0"/>
          <w:numId w:val="5"/>
        </w:numPr>
        <w:jc w:val="both"/>
        <w:rPr>
          <w:rFonts w:cs="Times New Roman"/>
          <w:color w:val="000000"/>
        </w:rPr>
      </w:pPr>
      <w:r>
        <w:rPr>
          <w:rFonts w:cs="Times New Roman"/>
          <w:color w:val="000000"/>
        </w:rPr>
        <w:t>članka 106. (trgovanje ljudima) Kaznenog zakona</w:t>
      </w:r>
    </w:p>
    <w:p w14:paraId="48D29EC1" w14:textId="77777777" w:rsidR="00FC3969" w:rsidRDefault="00107CB3">
      <w:pPr>
        <w:numPr>
          <w:ilvl w:val="0"/>
          <w:numId w:val="5"/>
        </w:numPr>
        <w:jc w:val="both"/>
        <w:rPr>
          <w:rFonts w:cs="Times New Roman"/>
          <w:color w:val="000000"/>
        </w:rPr>
      </w:pPr>
      <w:r>
        <w:rPr>
          <w:rFonts w:cs="Times New Roman"/>
          <w:color w:val="000000"/>
        </w:rPr>
        <w:t xml:space="preserve">članka 175. (trgovanje ljudima i ropstvo) iz Kaznenog zakona („Narodne novine“, broj 110/97, 27/98, 50/00, 129/00, 51/01, 111/03, 190/03, 105/04, 84/05, 71/06, 110/07, 152/08, 57/11, 77/11 i 143/12), </w:t>
      </w:r>
    </w:p>
    <w:p w14:paraId="53212894" w14:textId="77777777" w:rsidR="00FC3969" w:rsidRDefault="00107CB3">
      <w:pPr>
        <w:jc w:val="both"/>
        <w:rPr>
          <w:rFonts w:cs="Times New Roman"/>
          <w:color w:val="000000"/>
        </w:rPr>
      </w:pPr>
      <w:r>
        <w:rPr>
          <w:rFonts w:cs="Times New Roman"/>
          <w:color w:val="000000"/>
        </w:rPr>
        <w:t>ili</w:t>
      </w:r>
    </w:p>
    <w:p w14:paraId="3A1EA722" w14:textId="77777777" w:rsidR="00FC3969" w:rsidRDefault="00107CB3" w:rsidP="00102F5C">
      <w:pPr>
        <w:numPr>
          <w:ilvl w:val="0"/>
          <w:numId w:val="3"/>
        </w:numPr>
        <w:jc w:val="both"/>
        <w:rPr>
          <w:rFonts w:cs="Times New Roman"/>
          <w:color w:val="000000"/>
        </w:rPr>
      </w:pPr>
      <w:r>
        <w:rPr>
          <w:rFonts w:cs="Times New Roman"/>
          <w:color w:val="000000"/>
        </w:rPr>
        <w:t xml:space="preserve">je gospodarski subjekt koji nema poslovni </w:t>
      </w:r>
      <w:proofErr w:type="spellStart"/>
      <w:r>
        <w:rPr>
          <w:rFonts w:cs="Times New Roman"/>
          <w:color w:val="000000"/>
        </w:rPr>
        <w:t>nastan</w:t>
      </w:r>
      <w:proofErr w:type="spellEnd"/>
      <w:r>
        <w:rPr>
          <w:rFonts w:cs="Times New Roman"/>
          <w:color w:val="00000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rFonts w:cs="Times New Roman"/>
          <w:color w:val="000000"/>
        </w:rPr>
        <w:t>podtočaka</w:t>
      </w:r>
      <w:proofErr w:type="spellEnd"/>
      <w:r>
        <w:rPr>
          <w:rFonts w:cs="Times New Roman"/>
          <w:color w:val="000000"/>
        </w:rPr>
        <w:t xml:space="preserve"> a) do f) i za odgovarajuća kaznena djela koja, prema nacionalnim propisima države poslovnog </w:t>
      </w:r>
      <w:proofErr w:type="spellStart"/>
      <w:r>
        <w:rPr>
          <w:rFonts w:cs="Times New Roman"/>
          <w:color w:val="000000"/>
        </w:rPr>
        <w:t>nastana</w:t>
      </w:r>
      <w:proofErr w:type="spellEnd"/>
      <w:r>
        <w:rPr>
          <w:rFonts w:cs="Times New Roman"/>
          <w:color w:val="000000"/>
        </w:rPr>
        <w:t xml:space="preserve"> gospodarskog subjekta, odnosno države čiji je osoba državljanin, obuhvaćaju razloge za isključenje iz članka 57. stavka 1. točaka od (a) do (f) Direktive 2014/24/EU.</w:t>
      </w:r>
    </w:p>
    <w:p w14:paraId="44FE965F" w14:textId="77777777" w:rsidR="00102F5C" w:rsidRPr="00102F5C" w:rsidRDefault="00102F5C" w:rsidP="00102F5C">
      <w:pPr>
        <w:ind w:left="360"/>
        <w:jc w:val="both"/>
        <w:rPr>
          <w:rFonts w:cs="Times New Roman"/>
          <w:color w:val="000000"/>
        </w:rPr>
      </w:pPr>
    </w:p>
    <w:p w14:paraId="75DB9E3D" w14:textId="070928C1" w:rsidR="00FC3969" w:rsidRDefault="00107CB3">
      <w:pPr>
        <w:jc w:val="both"/>
        <w:rPr>
          <w:rFonts w:cs="Times New Roman"/>
        </w:rPr>
      </w:pPr>
      <w:r>
        <w:rPr>
          <w:rFonts w:cs="Times New Roman"/>
        </w:rPr>
        <w:t>Za potrebe utvrđivanja okolnosti iz prethodnih stavaka gospodarski subjekt dostavlja i</w:t>
      </w:r>
      <w:r w:rsidR="00717D5B">
        <w:rPr>
          <w:rFonts w:cs="Times New Roman"/>
        </w:rPr>
        <w:t>zjavu o nekažnjavanju (</w:t>
      </w:r>
      <w:r w:rsidR="00E04712">
        <w:rPr>
          <w:rFonts w:cs="Times New Roman"/>
        </w:rPr>
        <w:t>Prilog</w:t>
      </w:r>
      <w:r w:rsidR="00717D5B">
        <w:rPr>
          <w:rFonts w:cs="Times New Roman"/>
        </w:rPr>
        <w:t xml:space="preserve"> 4</w:t>
      </w:r>
      <w:r>
        <w:rPr>
          <w:rFonts w:cs="Times New Roman"/>
        </w:rPr>
        <w:t>). Izjavu daje osoba po zakonu ovlaštena za za</w:t>
      </w:r>
      <w:r w:rsidR="0044506C">
        <w:rPr>
          <w:rFonts w:cs="Times New Roman"/>
        </w:rPr>
        <w:t xml:space="preserve">stupanje gospodarskog subjekta </w:t>
      </w:r>
      <w:r w:rsidR="0044506C">
        <w:t>za gospodarski subjekt i za sve osobe koje su članovi upravnog, upravljačkog ili nadzornog tijela, ili imaju ovlasti zastupanja, donošenja odluka ili nadzora gospodarskog subjekta.</w:t>
      </w:r>
    </w:p>
    <w:p w14:paraId="0552814D" w14:textId="77777777" w:rsidR="00FC3969" w:rsidRDefault="00FC3969">
      <w:pPr>
        <w:jc w:val="both"/>
        <w:rPr>
          <w:rFonts w:cs="Times New Roman"/>
          <w:b/>
        </w:rPr>
      </w:pPr>
    </w:p>
    <w:p w14:paraId="49371341" w14:textId="77777777" w:rsidR="00FC3969" w:rsidRDefault="00107CB3">
      <w:pPr>
        <w:numPr>
          <w:ilvl w:val="2"/>
          <w:numId w:val="2"/>
        </w:numPr>
        <w:autoSpaceDE w:val="0"/>
        <w:autoSpaceDN w:val="0"/>
        <w:adjustRightInd w:val="0"/>
        <w:jc w:val="both"/>
        <w:rPr>
          <w:rFonts w:eastAsia="Calibri"/>
          <w:b/>
          <w:bCs/>
        </w:rPr>
      </w:pPr>
      <w:r>
        <w:lastRenderedPageBreak/>
        <w:t xml:space="preserve">Sukladno odredbama članka 252. ZJN 2016 </w:t>
      </w:r>
      <w:r>
        <w:rPr>
          <w:rFonts w:eastAsia="Calibri"/>
          <w:bCs/>
        </w:rPr>
        <w:t>javni naručitelj obvezan je isključiti</w:t>
      </w:r>
      <w:r>
        <w:rPr>
          <w:rFonts w:eastAsia="Calibri"/>
          <w:b/>
          <w:bCs/>
        </w:rPr>
        <w:t xml:space="preserve"> </w:t>
      </w:r>
      <w:r>
        <w:rPr>
          <w:rFonts w:eastAsia="Calibri"/>
          <w:bCs/>
        </w:rPr>
        <w:t>gospodarskog subjekta iz postupka javne nabave</w:t>
      </w:r>
      <w:r>
        <w:rPr>
          <w:rFonts w:eastAsia="Calibri"/>
          <w:b/>
          <w:bCs/>
        </w:rPr>
        <w:t xml:space="preserve"> </w:t>
      </w:r>
      <w:r>
        <w:rPr>
          <w:rFonts w:eastAsia="Calibri"/>
          <w:bCs/>
        </w:rPr>
        <w:t>ako utvrdi</w:t>
      </w:r>
      <w:r>
        <w:rPr>
          <w:rFonts w:eastAsia="Calibri"/>
          <w:b/>
          <w:bCs/>
        </w:rPr>
        <w:t xml:space="preserve"> </w:t>
      </w:r>
      <w:r>
        <w:rPr>
          <w:rFonts w:eastAsia="Calibri"/>
          <w:bCs/>
        </w:rPr>
        <w:t xml:space="preserve">da </w:t>
      </w:r>
      <w:r>
        <w:rPr>
          <w:rFonts w:eastAsia="Calibri"/>
          <w:b/>
          <w:bCs/>
        </w:rPr>
        <w:t xml:space="preserve">gospodarski subjekt nije ispunio obveze plaćanja dospjelih poreznih obveza i obveza za mirovinsko i zdravstveno osiguranje:  </w:t>
      </w:r>
    </w:p>
    <w:p w14:paraId="60EA8BDD" w14:textId="77777777" w:rsidR="00FC3969" w:rsidRDefault="00107CB3">
      <w:pPr>
        <w:ind w:left="426" w:hanging="284"/>
        <w:jc w:val="both"/>
        <w:rPr>
          <w:rFonts w:cs="Times New Roman"/>
        </w:rPr>
      </w:pPr>
      <w:r>
        <w:rPr>
          <w:rFonts w:cs="Times New Roman"/>
        </w:rPr>
        <w:t>1.</w:t>
      </w:r>
      <w:r>
        <w:rPr>
          <w:rFonts w:cs="Times New Roman"/>
        </w:rPr>
        <w:tab/>
        <w:t xml:space="preserve">u Republici Hrvatskoj, ako gospodarski subjekt ima poslovni </w:t>
      </w:r>
      <w:proofErr w:type="spellStart"/>
      <w:r>
        <w:rPr>
          <w:rFonts w:cs="Times New Roman"/>
        </w:rPr>
        <w:t>nastan</w:t>
      </w:r>
      <w:proofErr w:type="spellEnd"/>
      <w:r>
        <w:rPr>
          <w:rFonts w:cs="Times New Roman"/>
        </w:rPr>
        <w:t xml:space="preserve"> u Republici Hrvatskoj, ili</w:t>
      </w:r>
    </w:p>
    <w:p w14:paraId="210482AA" w14:textId="77777777" w:rsidR="00FC3969" w:rsidRDefault="00107CB3">
      <w:pPr>
        <w:ind w:left="426" w:hanging="284"/>
        <w:jc w:val="both"/>
        <w:rPr>
          <w:rFonts w:cs="Times New Roman"/>
        </w:rPr>
      </w:pPr>
      <w:r>
        <w:rPr>
          <w:rFonts w:cs="Times New Roman"/>
        </w:rPr>
        <w:t>2.</w:t>
      </w:r>
      <w:r>
        <w:rPr>
          <w:rFonts w:cs="Times New Roman"/>
        </w:rPr>
        <w:tab/>
        <w:t xml:space="preserve">u Republici Hrvatskoj ili u državi poslovnog </w:t>
      </w:r>
      <w:proofErr w:type="spellStart"/>
      <w:r>
        <w:rPr>
          <w:rFonts w:cs="Times New Roman"/>
        </w:rPr>
        <w:t>nastana</w:t>
      </w:r>
      <w:proofErr w:type="spellEnd"/>
      <w:r>
        <w:rPr>
          <w:rFonts w:cs="Times New Roman"/>
        </w:rPr>
        <w:t xml:space="preserve"> gospodarskog subjekta, ako gospodarski subjekt nema poslovni </w:t>
      </w:r>
      <w:proofErr w:type="spellStart"/>
      <w:r>
        <w:rPr>
          <w:rFonts w:cs="Times New Roman"/>
        </w:rPr>
        <w:t>nastan</w:t>
      </w:r>
      <w:proofErr w:type="spellEnd"/>
      <w:r>
        <w:rPr>
          <w:rFonts w:cs="Times New Roman"/>
        </w:rPr>
        <w:t xml:space="preserve"> u Republici Hrvatskoj. </w:t>
      </w:r>
    </w:p>
    <w:p w14:paraId="45158461" w14:textId="694AF570" w:rsidR="00FC3969" w:rsidRDefault="009E6C89">
      <w:pPr>
        <w:jc w:val="both"/>
        <w:rPr>
          <w:rFonts w:cs="Times New Roman"/>
        </w:rPr>
      </w:pPr>
      <w:r>
        <w:rPr>
          <w:rFonts w:cs="Times New Roman"/>
        </w:rPr>
        <w:t>N</w:t>
      </w:r>
      <w:r w:rsidR="00107CB3">
        <w:rPr>
          <w:rFonts w:cs="Times New Roman"/>
        </w:rPr>
        <w:t>aručitelj neće isključiti gospodarskog subjekta iz postupka jednostavne nabave ako mu sukladno posebnom propisu plaćanje obveza nije dopušteno ili mu je odobrena odgoda plaćanja.</w:t>
      </w:r>
    </w:p>
    <w:p w14:paraId="65846829" w14:textId="77777777" w:rsidR="00FC3969" w:rsidRDefault="00107CB3">
      <w:pPr>
        <w:jc w:val="both"/>
        <w:rPr>
          <w:rFonts w:cs="Times New Roman"/>
        </w:rPr>
      </w:pPr>
      <w:r>
        <w:rPr>
          <w:rFonts w:cs="Times New Roman"/>
        </w:rPr>
        <w:t xml:space="preserve">Za potrebe utvrđivanja okolnosti iz točke 3.1.2. gospodarski subjekt u ponudi dostavlja potvrdu Porezne uprave ili drugog nadležnog tijela u državi poslovnog </w:t>
      </w:r>
      <w:proofErr w:type="spellStart"/>
      <w:r>
        <w:rPr>
          <w:rFonts w:cs="Times New Roman"/>
        </w:rPr>
        <w:t>nastana</w:t>
      </w:r>
      <w:proofErr w:type="spellEnd"/>
      <w:r>
        <w:rPr>
          <w:rFonts w:cs="Times New Roman"/>
        </w:rPr>
        <w:t xml:space="preserve"> gospodarskog subjekta koja ne smije biti starija od 30 dana računajući od dana početka postupka jednostavne nabave.</w:t>
      </w:r>
    </w:p>
    <w:p w14:paraId="239CCE74" w14:textId="77777777" w:rsidR="00DA5613" w:rsidRDefault="00DA5613">
      <w:pPr>
        <w:jc w:val="both"/>
      </w:pPr>
      <w:r>
        <w:t xml:space="preserve">Ako se u državi poslovnog </w:t>
      </w:r>
      <w:proofErr w:type="spellStart"/>
      <w:r>
        <w:t>nastana</w:t>
      </w:r>
      <w:proofErr w:type="spellEnd"/>
      <w:r>
        <w:t xml:space="preserve"> gospodarskog subjekta ne izdaju potvrde porezne uprave, moguće je dostaviti Izjavu pod prisegom (ne smije biti starija od 30 (trideset) dana od dana početka postupka nabave) ili, ako izjava pod prisegom prema pravu dotične države ne postoji, potrebno je dostaviti odgovarajuću izjavu osobe koja je po zakonu ovlaštena za zastupanje gospodarskog subjekta s ovjerenim potpisom kod nadležne sudske ili upravne vlasti, javnog bilježnika ili strukovnog ili trgovinskog tijela u državi poslovnog </w:t>
      </w:r>
      <w:proofErr w:type="spellStart"/>
      <w:r>
        <w:t>nastana</w:t>
      </w:r>
      <w:proofErr w:type="spellEnd"/>
      <w:r>
        <w:t xml:space="preserve"> gospodarskog subjekta, a koja također ne smije biti starija od 30 (trideset) dana od dana početka postupka nabave. </w:t>
      </w:r>
    </w:p>
    <w:p w14:paraId="51A8FEA6" w14:textId="77777777" w:rsidR="00FC3969" w:rsidRDefault="00DA5613">
      <w:pPr>
        <w:jc w:val="both"/>
      </w:pPr>
      <w:r>
        <w:t>Navedeni dokument može se dostaviti u neovjerenoj preslici.</w:t>
      </w:r>
    </w:p>
    <w:p w14:paraId="5B3DFD38" w14:textId="77777777" w:rsidR="007250E9" w:rsidRDefault="007250E9">
      <w:pPr>
        <w:jc w:val="both"/>
        <w:rPr>
          <w:rFonts w:cs="Times New Roman"/>
          <w:b/>
          <w:bCs/>
        </w:rPr>
      </w:pPr>
    </w:p>
    <w:p w14:paraId="74284227" w14:textId="77777777" w:rsidR="00FC3969" w:rsidRDefault="00107CB3">
      <w:pPr>
        <w:numPr>
          <w:ilvl w:val="0"/>
          <w:numId w:val="2"/>
        </w:numPr>
        <w:jc w:val="both"/>
        <w:rPr>
          <w:rFonts w:cs="Times New Roman"/>
          <w:b/>
          <w:bCs/>
        </w:rPr>
      </w:pPr>
      <w:r>
        <w:rPr>
          <w:rFonts w:cs="Times New Roman"/>
          <w:b/>
          <w:bCs/>
        </w:rPr>
        <w:t>KRITERIJ ZA ODABIR GOSPODARSKOG SUBJEKTA (UVJETI SPOSOBNOSTI)</w:t>
      </w:r>
    </w:p>
    <w:p w14:paraId="477ED930" w14:textId="77777777" w:rsidR="00FC3969" w:rsidRDefault="00107CB3">
      <w:pPr>
        <w:jc w:val="both"/>
        <w:rPr>
          <w:rFonts w:eastAsia="SimSun" w:cs="SimSun"/>
        </w:rPr>
      </w:pPr>
      <w:r>
        <w:rPr>
          <w:rFonts w:eastAsia="SimSun" w:cs="SimSun"/>
        </w:rPr>
        <w:t xml:space="preserve">Gospodarski subjekt u ovom postupku javne nabave mora dokazati: </w:t>
      </w:r>
    </w:p>
    <w:p w14:paraId="685EEC90" w14:textId="77777777" w:rsidR="00FC3969" w:rsidRDefault="00107CB3">
      <w:pPr>
        <w:jc w:val="both"/>
        <w:rPr>
          <w:rFonts w:eastAsia="SimSun" w:cs="SimSun"/>
        </w:rPr>
      </w:pPr>
      <w:r>
        <w:rPr>
          <w:rFonts w:eastAsia="SimSun" w:cs="SimSun"/>
        </w:rPr>
        <w:t xml:space="preserve">- </w:t>
      </w:r>
      <w:r w:rsidR="00EE7894">
        <w:rPr>
          <w:rFonts w:eastAsia="SimSun" w:cs="SimSun"/>
        </w:rPr>
        <w:t xml:space="preserve">pravnu i poslovnu sposobnost </w:t>
      </w:r>
    </w:p>
    <w:p w14:paraId="30FBE5B1" w14:textId="3A909901" w:rsidR="00FC3969" w:rsidRDefault="00107CB3">
      <w:pPr>
        <w:jc w:val="both"/>
        <w:rPr>
          <w:rFonts w:eastAsia="SimSun" w:cs="SimSun"/>
        </w:rPr>
      </w:pPr>
      <w:r>
        <w:rPr>
          <w:rFonts w:eastAsia="SimSun" w:cs="SimSun"/>
        </w:rPr>
        <w:t>- tehničku i stručnu sposobnost</w:t>
      </w:r>
    </w:p>
    <w:p w14:paraId="584A8F5B" w14:textId="77777777" w:rsidR="00AC4E8D" w:rsidRDefault="00AC4E8D">
      <w:pPr>
        <w:jc w:val="both"/>
        <w:rPr>
          <w:rFonts w:eastAsia="SimSun" w:cs="SimSun"/>
        </w:rPr>
      </w:pPr>
    </w:p>
    <w:p w14:paraId="2FDEA48B" w14:textId="77777777" w:rsidR="005B45ED" w:rsidRPr="005B45ED" w:rsidRDefault="00107CB3" w:rsidP="005B45ED">
      <w:pPr>
        <w:numPr>
          <w:ilvl w:val="1"/>
          <w:numId w:val="2"/>
        </w:numPr>
        <w:jc w:val="both"/>
        <w:rPr>
          <w:rFonts w:cs="Times New Roman"/>
        </w:rPr>
      </w:pPr>
      <w:r w:rsidRPr="005B45ED">
        <w:rPr>
          <w:rFonts w:cs="Times New Roman"/>
          <w:b/>
          <w:bCs/>
        </w:rPr>
        <w:t xml:space="preserve"> </w:t>
      </w:r>
      <w:r w:rsidR="005B45ED" w:rsidRPr="005B45ED">
        <w:rPr>
          <w:b/>
          <w:bCs/>
        </w:rPr>
        <w:t>Uvjeti  pravne  i  poslovne  sposobnosti</w:t>
      </w:r>
      <w:r w:rsidR="005B45ED">
        <w:t xml:space="preserve">  </w:t>
      </w:r>
    </w:p>
    <w:p w14:paraId="156FF22E" w14:textId="34335207" w:rsidR="00FC3969" w:rsidRPr="005B45ED" w:rsidRDefault="00107CB3" w:rsidP="005B45ED">
      <w:pPr>
        <w:jc w:val="both"/>
        <w:rPr>
          <w:rFonts w:cs="Times New Roman"/>
        </w:rPr>
      </w:pPr>
      <w:r w:rsidRPr="005B45ED">
        <w:rPr>
          <w:rFonts w:cs="Times New Roman"/>
        </w:rPr>
        <w:t xml:space="preserve">Gospodarski subjekt mora dokazati upis u sudski, obrtni, strukovni ili drugi odgovarajući registar u državi njegova poslovnog </w:t>
      </w:r>
      <w:proofErr w:type="spellStart"/>
      <w:r w:rsidRPr="005B45ED">
        <w:rPr>
          <w:rFonts w:cs="Times New Roman"/>
        </w:rPr>
        <w:t>nastana</w:t>
      </w:r>
      <w:proofErr w:type="spellEnd"/>
      <w:r w:rsidRPr="005B45ED">
        <w:rPr>
          <w:rFonts w:cs="Times New Roman"/>
        </w:rPr>
        <w:t xml:space="preserve">. </w:t>
      </w:r>
    </w:p>
    <w:p w14:paraId="1E114D02" w14:textId="18ECE055" w:rsidR="00BD2236" w:rsidRPr="00BD2236" w:rsidRDefault="00107CB3" w:rsidP="00F10737">
      <w:pPr>
        <w:pStyle w:val="Odlomakpopisa"/>
        <w:ind w:left="0"/>
        <w:jc w:val="both"/>
        <w:rPr>
          <w:rFonts w:eastAsia="Times New Roman" w:cstheme="minorHAnsi"/>
        </w:rPr>
      </w:pPr>
      <w:r w:rsidRPr="00BD2236">
        <w:rPr>
          <w:rFonts w:cstheme="minorHAnsi"/>
        </w:rPr>
        <w:t xml:space="preserve">Upis u registar dokazuje se odgovarajućim izvatkom iz sudskog, obrtnog, strukovnog ili drugog odgovarajućeg registra u državi članici njegovog poslovnog </w:t>
      </w:r>
      <w:proofErr w:type="spellStart"/>
      <w:r w:rsidRPr="00BD2236">
        <w:rPr>
          <w:rFonts w:cstheme="minorHAnsi"/>
        </w:rPr>
        <w:t>nastana</w:t>
      </w:r>
      <w:proofErr w:type="spellEnd"/>
      <w:r w:rsidR="00BD2236" w:rsidRPr="00BD2236">
        <w:rPr>
          <w:rFonts w:cstheme="minorHAnsi"/>
        </w:rPr>
        <w:t xml:space="preserve">, a ako se oni ne izdaju u državi sjedišta gospodarskog subjekta, gospodarski subjekt može dostaviti izjavu s ovjerom potpisa kod nadležnog tijela. </w:t>
      </w:r>
    </w:p>
    <w:p w14:paraId="02AA9765" w14:textId="18C40C9D" w:rsidR="00FC3969" w:rsidRDefault="00FC3969">
      <w:pPr>
        <w:jc w:val="both"/>
        <w:rPr>
          <w:rFonts w:cs="Times New Roman"/>
        </w:rPr>
      </w:pPr>
    </w:p>
    <w:p w14:paraId="4979439F" w14:textId="3F6A87A6" w:rsidR="00FC3969" w:rsidRDefault="00107CB3">
      <w:pPr>
        <w:jc w:val="both"/>
        <w:rPr>
          <w:rFonts w:cs="Times New Roman"/>
        </w:rPr>
      </w:pPr>
      <w:r>
        <w:rPr>
          <w:rFonts w:cs="Times New Roman"/>
        </w:rPr>
        <w:t xml:space="preserve">Dokaz ne smije biti stariji od 3 mjeseca računajući od dana upućivanja Poziva na dostavu ponuda. </w:t>
      </w:r>
    </w:p>
    <w:p w14:paraId="74E2D33A" w14:textId="77777777" w:rsidR="00AC4E8D" w:rsidRDefault="00AC4E8D">
      <w:pPr>
        <w:jc w:val="both"/>
        <w:rPr>
          <w:rFonts w:cs="Times New Roman"/>
        </w:rPr>
      </w:pPr>
    </w:p>
    <w:p w14:paraId="00EEAE67" w14:textId="52E4EE5E" w:rsidR="00FC3969" w:rsidRPr="009C308E" w:rsidRDefault="002F3638" w:rsidP="009C308E">
      <w:pPr>
        <w:numPr>
          <w:ilvl w:val="1"/>
          <w:numId w:val="2"/>
        </w:numPr>
        <w:jc w:val="both"/>
        <w:rPr>
          <w:rFonts w:cs="Times New Roman"/>
          <w:bCs/>
        </w:rPr>
      </w:pPr>
      <w:r>
        <w:rPr>
          <w:rFonts w:cs="Times New Roman"/>
          <w:b/>
          <w:bCs/>
        </w:rPr>
        <w:t xml:space="preserve"> Uvjeti t</w:t>
      </w:r>
      <w:r w:rsidR="00107CB3">
        <w:rPr>
          <w:rFonts w:cs="Times New Roman"/>
          <w:b/>
          <w:bCs/>
        </w:rPr>
        <w:t>ehničk</w:t>
      </w:r>
      <w:r>
        <w:rPr>
          <w:rFonts w:cs="Times New Roman"/>
          <w:b/>
          <w:bCs/>
        </w:rPr>
        <w:t>e</w:t>
      </w:r>
      <w:r w:rsidR="00107CB3">
        <w:rPr>
          <w:rFonts w:cs="Times New Roman"/>
          <w:b/>
          <w:bCs/>
        </w:rPr>
        <w:t xml:space="preserve"> i stručn</w:t>
      </w:r>
      <w:r>
        <w:rPr>
          <w:rFonts w:cs="Times New Roman"/>
          <w:b/>
          <w:bCs/>
        </w:rPr>
        <w:t>e</w:t>
      </w:r>
      <w:r w:rsidR="00107CB3">
        <w:rPr>
          <w:rFonts w:cs="Times New Roman"/>
          <w:b/>
          <w:bCs/>
        </w:rPr>
        <w:t xml:space="preserve"> sposobnost</w:t>
      </w:r>
      <w:r>
        <w:rPr>
          <w:rFonts w:cs="Times New Roman"/>
          <w:b/>
          <w:bCs/>
        </w:rPr>
        <w:t>i</w:t>
      </w:r>
      <w:r w:rsidR="00107CB3">
        <w:rPr>
          <w:rFonts w:cs="Times New Roman"/>
          <w:b/>
          <w:bCs/>
        </w:rPr>
        <w:t xml:space="preserve"> </w:t>
      </w:r>
    </w:p>
    <w:p w14:paraId="5FA558E4" w14:textId="7E3C9217" w:rsidR="00FC3969" w:rsidRDefault="00D01FCC" w:rsidP="00CB0A85">
      <w:pPr>
        <w:numPr>
          <w:ilvl w:val="2"/>
          <w:numId w:val="2"/>
        </w:numPr>
        <w:shd w:val="clear" w:color="auto" w:fill="FFFFFF" w:themeFill="background1"/>
        <w:jc w:val="both"/>
        <w:rPr>
          <w:rFonts w:cs="Times New Roman"/>
        </w:rPr>
      </w:pPr>
      <w:r>
        <w:rPr>
          <w:rFonts w:cs="Times New Roman"/>
          <w:b/>
          <w:bCs/>
        </w:rPr>
        <w:t>Tehnička specifikacija</w:t>
      </w:r>
      <w:r w:rsidR="008B77E3">
        <w:rPr>
          <w:rFonts w:cs="Times New Roman"/>
          <w:b/>
          <w:bCs/>
        </w:rPr>
        <w:t xml:space="preserve"> vozila </w:t>
      </w:r>
    </w:p>
    <w:p w14:paraId="65501ADD" w14:textId="77777777" w:rsidR="009835A4" w:rsidRDefault="00847559">
      <w:pPr>
        <w:ind w:right="75"/>
        <w:jc w:val="both"/>
      </w:pPr>
      <w:r>
        <w:t xml:space="preserve">Gospodarski subjekt je obvezan ispuniti obrazac „Tehnička specifikacija vozila“ (Prilog </w:t>
      </w:r>
      <w:r w:rsidR="00077F93">
        <w:t>3</w:t>
      </w:r>
      <w:r w:rsidR="00E0117E">
        <w:t xml:space="preserve">) </w:t>
      </w:r>
      <w:r>
        <w:t xml:space="preserve">na način da upiše ponuđenu marku i tip vozila te ispuni kolonu „ponuđeno“. Kolonu „ponuđeno“ je obvezan ispuniti na način da se na za to predviđeno mjesto (prazno polje) upišu ponuđene tehničke </w:t>
      </w:r>
      <w:r w:rsidR="00A249E6">
        <w:t xml:space="preserve">značajke vozila, odnosno da se upišu </w:t>
      </w:r>
      <w:r>
        <w:t xml:space="preserve">odgovori </w:t>
      </w:r>
      <w:r w:rsidR="00A249E6">
        <w:t xml:space="preserve">s </w:t>
      </w:r>
      <w:r>
        <w:t xml:space="preserve">„DA“ ili „NE“, kako je već za koju stavku tehničkih značajki traženo. </w:t>
      </w:r>
    </w:p>
    <w:p w14:paraId="2B36DA8B" w14:textId="77777777" w:rsidR="00941250" w:rsidRDefault="00AE3018" w:rsidP="00941250">
      <w:pPr>
        <w:ind w:right="75"/>
        <w:jc w:val="both"/>
      </w:pPr>
      <w:r>
        <w:t>Gospodarski subjekt je obvezan u ponudi dostaviti dokaz koji je nedvojbeno usklađen s tehničkim opisom predmeta nabave</w:t>
      </w:r>
      <w:r w:rsidR="00E47341">
        <w:t xml:space="preserve">: </w:t>
      </w:r>
    </w:p>
    <w:p w14:paraId="2EB180F0" w14:textId="3625685E" w:rsidR="00941250" w:rsidRDefault="00AE3018" w:rsidP="00941250">
      <w:pPr>
        <w:pStyle w:val="Odlomakpopisa"/>
        <w:numPr>
          <w:ilvl w:val="0"/>
          <w:numId w:val="5"/>
        </w:numPr>
        <w:ind w:right="75"/>
        <w:jc w:val="both"/>
      </w:pPr>
      <w:r>
        <w:t>katalog ili drugi informativni materijal koji se odnosi na tehnički dio ponude kao dokaz koji nedvojbeno potvrđuje traženo odnosno katalog s karakteristikama i opisom vozila</w:t>
      </w:r>
    </w:p>
    <w:p w14:paraId="0D41A2C6" w14:textId="5C8E3FBF" w:rsidR="00D01FCC" w:rsidRPr="00941250" w:rsidRDefault="00D01FCC" w:rsidP="00D01FCC">
      <w:pPr>
        <w:pStyle w:val="Odlomakpopisa"/>
        <w:numPr>
          <w:ilvl w:val="0"/>
          <w:numId w:val="5"/>
        </w:numPr>
        <w:ind w:right="75"/>
        <w:jc w:val="both"/>
      </w:pPr>
      <w:r w:rsidRPr="00941250">
        <w:rPr>
          <w:rFonts w:eastAsiaTheme="minorEastAsia" w:cstheme="minorEastAsia"/>
        </w:rPr>
        <w:t xml:space="preserve">izjavu </w:t>
      </w:r>
      <w:r w:rsidR="005471C0">
        <w:rPr>
          <w:rFonts w:eastAsiaTheme="minorEastAsia" w:cstheme="minorEastAsia"/>
        </w:rPr>
        <w:t>o usklađenosti pon</w:t>
      </w:r>
      <w:r>
        <w:rPr>
          <w:rFonts w:eastAsiaTheme="minorEastAsia" w:cstheme="minorEastAsia"/>
        </w:rPr>
        <w:t xml:space="preserve">uđenog vozila s Tehničkom specifikacijom </w:t>
      </w:r>
      <w:r w:rsidRPr="00941250">
        <w:rPr>
          <w:rFonts w:eastAsiaTheme="minorEastAsia" w:cstheme="minorEastAsia"/>
        </w:rPr>
        <w:t>iz koje je vidljivo da ponuđeno vozilo odgovar</w:t>
      </w:r>
      <w:r w:rsidR="009B7254">
        <w:rPr>
          <w:rFonts w:eastAsiaTheme="minorEastAsia" w:cstheme="minorEastAsia"/>
        </w:rPr>
        <w:t>a uvjetima određenim u tehničkoj specifikaciji</w:t>
      </w:r>
    </w:p>
    <w:p w14:paraId="2A0E3B0E" w14:textId="37ECA071" w:rsidR="00D01FCC" w:rsidRDefault="00D01FCC" w:rsidP="00D01FCC">
      <w:pPr>
        <w:jc w:val="both"/>
        <w:rPr>
          <w:rFonts w:eastAsia="SimSun" w:cs="SimSun"/>
        </w:rPr>
      </w:pPr>
      <w:r>
        <w:rPr>
          <w:rFonts w:eastAsia="SimSun" w:cs="SimSun"/>
        </w:rPr>
        <w:t>Ponuđeno vozilo mora u cijelosti odgovarati zahtjevima određenim u o</w:t>
      </w:r>
      <w:r w:rsidR="001E54D2">
        <w:rPr>
          <w:rFonts w:eastAsia="SimSun" w:cs="SimSun"/>
        </w:rPr>
        <w:t>pisu predmeta nabave i tehničkoj specifikaciji</w:t>
      </w:r>
      <w:r>
        <w:rPr>
          <w:rFonts w:eastAsia="SimSun" w:cs="SimSun"/>
        </w:rPr>
        <w:t xml:space="preserve">. Ukoliko ponuditelj ne dokaže izjavom da </w:t>
      </w:r>
      <w:r w:rsidR="00BC3C41">
        <w:rPr>
          <w:rFonts w:eastAsia="SimSun" w:cs="SimSun"/>
        </w:rPr>
        <w:t xml:space="preserve">ponuđeno vozilo odgovara uvjetima određenim u tehničkoj specifikaciji </w:t>
      </w:r>
      <w:r>
        <w:rPr>
          <w:rFonts w:eastAsia="SimSun" w:cs="SimSun"/>
        </w:rPr>
        <w:t xml:space="preserve">njegova ponuda biti će odbačena. </w:t>
      </w:r>
    </w:p>
    <w:p w14:paraId="01DC2CE1" w14:textId="0C43173F" w:rsidR="00533431" w:rsidRPr="004E286C" w:rsidRDefault="00D01FCC" w:rsidP="004E286C">
      <w:pPr>
        <w:jc w:val="both"/>
        <w:rPr>
          <w:rFonts w:cs="Times New Roman"/>
        </w:rPr>
      </w:pPr>
      <w:r>
        <w:rPr>
          <w:rFonts w:cs="Times New Roman"/>
        </w:rPr>
        <w:lastRenderedPageBreak/>
        <w:t xml:space="preserve">Traženi dokazi mogu se priložiti u izvorniku, u ovjerenoj ili neovjerenoj preslici i svi dokazi moraju biti na hrvatskom jeziku ili prevedeni na hrvatski jezik od strane ovlaštenog prevoditelja. </w:t>
      </w:r>
    </w:p>
    <w:p w14:paraId="4A0CBC27" w14:textId="77777777" w:rsidR="00622EB3" w:rsidRPr="00622EB3" w:rsidRDefault="00622EB3" w:rsidP="00622EB3">
      <w:pPr>
        <w:pStyle w:val="Odlomakpopisa"/>
        <w:numPr>
          <w:ilvl w:val="2"/>
          <w:numId w:val="2"/>
        </w:numPr>
        <w:ind w:right="75"/>
        <w:jc w:val="both"/>
        <w:rPr>
          <w:rFonts w:eastAsiaTheme="minorEastAsia" w:cstheme="minorEastAsia"/>
          <w:b/>
        </w:rPr>
      </w:pPr>
      <w:r w:rsidRPr="00622EB3">
        <w:rPr>
          <w:rFonts w:eastAsiaTheme="minorEastAsia" w:cstheme="minorEastAsia"/>
          <w:b/>
        </w:rPr>
        <w:t xml:space="preserve">Popis ovlaštenih servisa </w:t>
      </w:r>
    </w:p>
    <w:p w14:paraId="659AED99" w14:textId="7E2FB75E" w:rsidR="00723B89" w:rsidRDefault="0080165B">
      <w:pPr>
        <w:ind w:right="75"/>
        <w:jc w:val="both"/>
      </w:pPr>
      <w:r>
        <w:t xml:space="preserve">Gospodarski subjekt mora omogućiti pružanje usluga održavanja vozila na području </w:t>
      </w:r>
      <w:r w:rsidR="00747666">
        <w:t>Istarske županije</w:t>
      </w:r>
      <w:r>
        <w:t>. Gospodarski subjekt mora raspolagati s najmanje jednom servisnom lokacijom za ponuđenu marku vozila za usluge servisiranja u jamstvenom</w:t>
      </w:r>
      <w:r w:rsidR="00C020C0">
        <w:t xml:space="preserve"> roku</w:t>
      </w:r>
      <w:r w:rsidR="00B6693F">
        <w:t xml:space="preserve">, a koja se nalazi na području Istarske županije. </w:t>
      </w:r>
      <w:r>
        <w:t xml:space="preserve"> </w:t>
      </w:r>
    </w:p>
    <w:p w14:paraId="3189FC9E" w14:textId="21D89DCA" w:rsidR="000625E6" w:rsidRDefault="0080165B" w:rsidP="0005141D">
      <w:pPr>
        <w:ind w:right="75"/>
        <w:jc w:val="both"/>
        <w:rPr>
          <w:rFonts w:eastAsiaTheme="minorEastAsia" w:cstheme="minorEastAsia"/>
        </w:rPr>
      </w:pPr>
      <w:r>
        <w:t>Dokaz se podnosi u obliku popisa ovlaštenih servisa (servisne mreže). Popis mora sadržavati najmanje naziv i adresu ovlaštenog servisa.</w:t>
      </w:r>
    </w:p>
    <w:p w14:paraId="0E2A19B0" w14:textId="77777777" w:rsidR="0005141D" w:rsidRPr="0005141D" w:rsidRDefault="0005141D" w:rsidP="0005141D">
      <w:pPr>
        <w:ind w:right="75"/>
        <w:jc w:val="both"/>
        <w:rPr>
          <w:rFonts w:eastAsiaTheme="minorEastAsia" w:cstheme="minorEastAsia"/>
        </w:rPr>
      </w:pPr>
    </w:p>
    <w:p w14:paraId="35B83E86" w14:textId="77777777" w:rsidR="00FC3969" w:rsidRDefault="00107CB3">
      <w:pPr>
        <w:numPr>
          <w:ilvl w:val="0"/>
          <w:numId w:val="2"/>
        </w:numPr>
        <w:jc w:val="both"/>
        <w:rPr>
          <w:b/>
          <w:bCs/>
        </w:rPr>
      </w:pPr>
      <w:r>
        <w:rPr>
          <w:b/>
          <w:bCs/>
        </w:rPr>
        <w:t xml:space="preserve"> PODACI O PONUDI </w:t>
      </w:r>
    </w:p>
    <w:p w14:paraId="78435858" w14:textId="77777777" w:rsidR="00FC3969" w:rsidRDefault="00107CB3">
      <w:pPr>
        <w:ind w:left="426" w:hanging="426"/>
        <w:rPr>
          <w:b/>
        </w:rPr>
      </w:pPr>
      <w:r>
        <w:rPr>
          <w:b/>
        </w:rPr>
        <w:t>5.1.</w:t>
      </w:r>
      <w:r>
        <w:rPr>
          <w:b/>
        </w:rPr>
        <w:tab/>
        <w:t>Sadržaj i način izrade ponude</w:t>
      </w:r>
    </w:p>
    <w:p w14:paraId="4AA1149D" w14:textId="77777777" w:rsidR="00FC3969" w:rsidRDefault="00107CB3">
      <w:pPr>
        <w:jc w:val="both"/>
      </w:pPr>
      <w:r>
        <w:t>Ponuda je pisana izjava volje ponuditelja da pruži usluge sukladno uvjetima i zahtjevima navedenima u predmetnom Pozivu.</w:t>
      </w:r>
    </w:p>
    <w:p w14:paraId="20A0B390" w14:textId="77777777" w:rsidR="00FC3969" w:rsidRDefault="00107CB3">
      <w:pPr>
        <w:jc w:val="both"/>
      </w:pPr>
      <w:r>
        <w:t xml:space="preserve">Podnošenjem Ponude smatra se da ponuditelj pristaje na sve uvjete iz predmetnog poziva. </w:t>
      </w:r>
    </w:p>
    <w:p w14:paraId="50155DB3" w14:textId="77777777" w:rsidR="00FC3969" w:rsidRDefault="00107CB3">
      <w:pPr>
        <w:jc w:val="both"/>
        <w:rPr>
          <w:b/>
          <w:u w:val="single"/>
        </w:rPr>
      </w:pPr>
      <w:r>
        <w:rPr>
          <w:b/>
          <w:u w:val="single"/>
        </w:rPr>
        <w:t xml:space="preserve">Ponuda mora sadržavati: </w:t>
      </w:r>
    </w:p>
    <w:p w14:paraId="5EB87351" w14:textId="77777777" w:rsidR="00FC3969" w:rsidRDefault="00FC3969">
      <w:pPr>
        <w:ind w:left="360"/>
        <w:contextualSpacing/>
        <w:jc w:val="both"/>
        <w:rPr>
          <w:b/>
        </w:rPr>
      </w:pPr>
    </w:p>
    <w:p w14:paraId="652CDBB7" w14:textId="77777777" w:rsidR="00FC3969" w:rsidRDefault="00107CB3">
      <w:pPr>
        <w:numPr>
          <w:ilvl w:val="0"/>
          <w:numId w:val="7"/>
        </w:numPr>
        <w:contextualSpacing/>
        <w:jc w:val="both"/>
        <w:rPr>
          <w:b/>
        </w:rPr>
      </w:pPr>
      <w:r>
        <w:rPr>
          <w:b/>
        </w:rPr>
        <w:t>Potpisani, popunjeni i ovj</w:t>
      </w:r>
      <w:r w:rsidR="0049586C">
        <w:rPr>
          <w:b/>
        </w:rPr>
        <w:t xml:space="preserve">ereni Ponudbeni list – Obrazac 1 </w:t>
      </w:r>
    </w:p>
    <w:p w14:paraId="04F5EDE6" w14:textId="77777777" w:rsidR="0049586C" w:rsidRDefault="004B2219">
      <w:pPr>
        <w:numPr>
          <w:ilvl w:val="0"/>
          <w:numId w:val="7"/>
        </w:numPr>
        <w:contextualSpacing/>
        <w:jc w:val="both"/>
        <w:rPr>
          <w:b/>
        </w:rPr>
      </w:pPr>
      <w:r>
        <w:rPr>
          <w:b/>
        </w:rPr>
        <w:t xml:space="preserve">Potpisani i ovjereni </w:t>
      </w:r>
      <w:r w:rsidR="0049586C">
        <w:rPr>
          <w:b/>
        </w:rPr>
        <w:t xml:space="preserve">Troškovnik – Obrazac 2 </w:t>
      </w:r>
    </w:p>
    <w:p w14:paraId="69B4520A" w14:textId="77777777" w:rsidR="00FC3969" w:rsidRDefault="00107CB3">
      <w:pPr>
        <w:numPr>
          <w:ilvl w:val="0"/>
          <w:numId w:val="7"/>
        </w:numPr>
        <w:contextualSpacing/>
        <w:jc w:val="both"/>
        <w:rPr>
          <w:b/>
        </w:rPr>
      </w:pPr>
      <w:r>
        <w:rPr>
          <w:b/>
        </w:rPr>
        <w:t>Tehničku</w:t>
      </w:r>
      <w:r w:rsidR="004B2219">
        <w:rPr>
          <w:b/>
        </w:rPr>
        <w:t xml:space="preserve"> specifikaciju vozila - Prilog 3</w:t>
      </w:r>
    </w:p>
    <w:p w14:paraId="45BC4065" w14:textId="54BB80F2" w:rsidR="00FC3969" w:rsidRDefault="00107CB3">
      <w:pPr>
        <w:numPr>
          <w:ilvl w:val="0"/>
          <w:numId w:val="7"/>
        </w:numPr>
        <w:contextualSpacing/>
        <w:jc w:val="both"/>
        <w:rPr>
          <w:b/>
        </w:rPr>
      </w:pPr>
      <w:r>
        <w:rPr>
          <w:b/>
        </w:rPr>
        <w:t>Kat</w:t>
      </w:r>
      <w:r w:rsidR="003343B9">
        <w:rPr>
          <w:b/>
        </w:rPr>
        <w:t>a</w:t>
      </w:r>
      <w:r>
        <w:rPr>
          <w:b/>
        </w:rPr>
        <w:t>log predmeta nabave u kojem su navedena tehnička obilježja ponuđenog predmeta nabave</w:t>
      </w:r>
      <w:r w:rsidR="00357821">
        <w:rPr>
          <w:b/>
        </w:rPr>
        <w:t xml:space="preserve"> </w:t>
      </w:r>
    </w:p>
    <w:p w14:paraId="61FF38B5" w14:textId="77777777" w:rsidR="00FC3969" w:rsidRDefault="00107CB3">
      <w:pPr>
        <w:numPr>
          <w:ilvl w:val="0"/>
          <w:numId w:val="7"/>
        </w:numPr>
        <w:contextualSpacing/>
        <w:jc w:val="both"/>
        <w:rPr>
          <w:b/>
        </w:rPr>
      </w:pPr>
      <w:r>
        <w:rPr>
          <w:b/>
        </w:rPr>
        <w:t xml:space="preserve">Dokazi </w:t>
      </w:r>
    </w:p>
    <w:p w14:paraId="172F65AD" w14:textId="77777777" w:rsidR="00FC3969" w:rsidRDefault="00107CB3" w:rsidP="00FD027F">
      <w:pPr>
        <w:ind w:left="720"/>
        <w:contextualSpacing/>
        <w:jc w:val="both"/>
        <w:rPr>
          <w:bCs/>
        </w:rPr>
      </w:pPr>
      <w:r>
        <w:rPr>
          <w:b/>
        </w:rPr>
        <w:t xml:space="preserve">     - </w:t>
      </w:r>
      <w:r>
        <w:rPr>
          <w:bCs/>
        </w:rPr>
        <w:t>izj</w:t>
      </w:r>
      <w:r w:rsidR="00FD027F">
        <w:rPr>
          <w:bCs/>
        </w:rPr>
        <w:t xml:space="preserve">ava o nekažnjavanju – prilog 4 </w:t>
      </w:r>
    </w:p>
    <w:p w14:paraId="105C633C" w14:textId="77777777" w:rsidR="00FC3969" w:rsidRDefault="00107CB3">
      <w:pPr>
        <w:contextualSpacing/>
        <w:jc w:val="both"/>
        <w:rPr>
          <w:bCs/>
        </w:rPr>
      </w:pPr>
      <w:r>
        <w:rPr>
          <w:b/>
        </w:rPr>
        <w:tab/>
      </w:r>
      <w:r>
        <w:rPr>
          <w:b/>
        </w:rPr>
        <w:tab/>
      </w:r>
      <w:r>
        <w:rPr>
          <w:b/>
        </w:rPr>
        <w:tab/>
        <w:t xml:space="preserve">- </w:t>
      </w:r>
      <w:r>
        <w:rPr>
          <w:bCs/>
        </w:rPr>
        <w:t>dokaz upisa u sudski, obrtni ili drugi odgovarajući registar</w:t>
      </w:r>
    </w:p>
    <w:p w14:paraId="4357AFEA" w14:textId="35C9323F" w:rsidR="00FC3969" w:rsidRDefault="00107CB3">
      <w:pPr>
        <w:contextualSpacing/>
        <w:jc w:val="both"/>
        <w:rPr>
          <w:bCs/>
        </w:rPr>
      </w:pPr>
      <w:r>
        <w:rPr>
          <w:bCs/>
        </w:rPr>
        <w:tab/>
      </w:r>
      <w:r>
        <w:rPr>
          <w:bCs/>
        </w:rPr>
        <w:tab/>
      </w:r>
      <w:r>
        <w:rPr>
          <w:bCs/>
        </w:rPr>
        <w:tab/>
        <w:t xml:space="preserve">- potvrda porezne uprave o stanju duga koja ne smije biti starija od 30 </w:t>
      </w:r>
      <w:r>
        <w:rPr>
          <w:bCs/>
        </w:rPr>
        <w:tab/>
      </w:r>
      <w:r>
        <w:rPr>
          <w:bCs/>
        </w:rPr>
        <w:tab/>
      </w:r>
      <w:r>
        <w:rPr>
          <w:bCs/>
        </w:rPr>
        <w:tab/>
      </w:r>
      <w:r>
        <w:rPr>
          <w:bCs/>
        </w:rPr>
        <w:tab/>
      </w:r>
      <w:r>
        <w:rPr>
          <w:bCs/>
        </w:rPr>
        <w:tab/>
        <w:t xml:space="preserve">  (trideset) dana računajući od dana početka postupka nabave </w:t>
      </w:r>
    </w:p>
    <w:p w14:paraId="04C1863E" w14:textId="40675D1D" w:rsidR="00F00138" w:rsidRPr="00035DF4" w:rsidRDefault="007C7100">
      <w:pPr>
        <w:contextualSpacing/>
        <w:jc w:val="both"/>
        <w:rPr>
          <w:bCs/>
        </w:rPr>
      </w:pPr>
      <w:r>
        <w:rPr>
          <w:bCs/>
        </w:rPr>
        <w:tab/>
      </w:r>
      <w:r>
        <w:rPr>
          <w:bCs/>
        </w:rPr>
        <w:tab/>
      </w:r>
      <w:r>
        <w:rPr>
          <w:bCs/>
        </w:rPr>
        <w:tab/>
        <w:t>- popis ovlaštenih servisera</w:t>
      </w:r>
    </w:p>
    <w:p w14:paraId="15C2121B" w14:textId="77777777" w:rsidR="00E95E26" w:rsidRDefault="00F00138">
      <w:pPr>
        <w:contextualSpacing/>
        <w:jc w:val="both"/>
        <w:rPr>
          <w:bCs/>
        </w:rPr>
      </w:pPr>
      <w:r>
        <w:rPr>
          <w:b/>
        </w:rPr>
        <w:tab/>
      </w:r>
      <w:r>
        <w:rPr>
          <w:b/>
        </w:rPr>
        <w:tab/>
      </w:r>
      <w:r w:rsidRPr="00C764EC">
        <w:rPr>
          <w:b/>
          <w:color w:val="FF0000"/>
        </w:rPr>
        <w:t xml:space="preserve">    </w:t>
      </w:r>
      <w:r w:rsidRPr="00497B41">
        <w:rPr>
          <w:b/>
        </w:rPr>
        <w:t xml:space="preserve">- </w:t>
      </w:r>
      <w:r w:rsidRPr="00497B41">
        <w:rPr>
          <w:bCs/>
        </w:rPr>
        <w:t>izjava o roku isporuke predmeta nabave</w:t>
      </w:r>
      <w:r w:rsidRPr="00497B41">
        <w:rPr>
          <w:b/>
        </w:rPr>
        <w:t xml:space="preserve"> </w:t>
      </w:r>
      <w:r w:rsidR="00497B41" w:rsidRPr="00497B41">
        <w:rPr>
          <w:b/>
        </w:rPr>
        <w:t xml:space="preserve">– </w:t>
      </w:r>
      <w:r w:rsidR="00571B1C">
        <w:rPr>
          <w:bCs/>
        </w:rPr>
        <w:t>prilog 5</w:t>
      </w:r>
      <w:r w:rsidR="00107CB3" w:rsidRPr="00FA5B5B">
        <w:rPr>
          <w:bCs/>
        </w:rPr>
        <w:t xml:space="preserve"> </w:t>
      </w:r>
    </w:p>
    <w:p w14:paraId="160489EA" w14:textId="1EAF5B6D" w:rsidR="00FC3969" w:rsidRDefault="00E95E26">
      <w:pPr>
        <w:contextualSpacing/>
        <w:jc w:val="both"/>
        <w:rPr>
          <w:rFonts w:eastAsia="SimSun" w:cs="SimSun"/>
        </w:rPr>
      </w:pPr>
      <w:r>
        <w:rPr>
          <w:bCs/>
        </w:rPr>
        <w:t xml:space="preserve">           </w:t>
      </w:r>
      <w:r w:rsidR="00B105E2">
        <w:rPr>
          <w:bCs/>
        </w:rPr>
        <w:t xml:space="preserve"> </w:t>
      </w:r>
      <w:r>
        <w:rPr>
          <w:bCs/>
        </w:rPr>
        <w:t xml:space="preserve">- izjava o usklađenosti ponuđenog vozila s Tehničkom specifikacijom – prilog 6  </w:t>
      </w:r>
      <w:r w:rsidR="00107CB3" w:rsidRPr="00FA5B5B">
        <w:rPr>
          <w:bCs/>
        </w:rPr>
        <w:t xml:space="preserve">          </w:t>
      </w:r>
    </w:p>
    <w:p w14:paraId="472B8AAF" w14:textId="77777777" w:rsidR="00FC3969" w:rsidRDefault="00FC3969">
      <w:pPr>
        <w:jc w:val="both"/>
        <w:rPr>
          <w:rFonts w:eastAsia="SimSun" w:cs="SimSun"/>
        </w:rPr>
      </w:pPr>
    </w:p>
    <w:p w14:paraId="6C7429A6" w14:textId="77777777" w:rsidR="00FC3969" w:rsidRDefault="00107CB3">
      <w:pPr>
        <w:jc w:val="both"/>
        <w:rPr>
          <w:rFonts w:eastAsia="SimSun" w:cs="SimSun"/>
          <w:b/>
          <w:bCs/>
        </w:rPr>
      </w:pPr>
      <w:r>
        <w:rPr>
          <w:rFonts w:eastAsia="SimSun" w:cs="SimSun"/>
          <w:b/>
          <w:bCs/>
        </w:rPr>
        <w:t xml:space="preserve">5.2. Rok valjanosti ponude </w:t>
      </w:r>
    </w:p>
    <w:p w14:paraId="3F6EA97C" w14:textId="77777777" w:rsidR="00FC3969" w:rsidRDefault="00107CB3">
      <w:pPr>
        <w:widowControl w:val="0"/>
        <w:jc w:val="both"/>
        <w:outlineLvl w:val="1"/>
      </w:pPr>
      <w:r>
        <w:t xml:space="preserve">Rok valjanosti ponude je najmanje 30 (trideset) dana od dana isteka roka za dostavu ponude. </w:t>
      </w:r>
    </w:p>
    <w:p w14:paraId="1368CE58" w14:textId="77777777" w:rsidR="00FC3969" w:rsidRDefault="00FC3969">
      <w:pPr>
        <w:widowControl w:val="0"/>
        <w:ind w:left="426" w:hanging="426"/>
        <w:jc w:val="both"/>
        <w:outlineLvl w:val="1"/>
      </w:pPr>
    </w:p>
    <w:p w14:paraId="36C0C6B5" w14:textId="77777777" w:rsidR="00FC3969" w:rsidRDefault="00107CB3">
      <w:pPr>
        <w:widowControl w:val="0"/>
        <w:ind w:left="426" w:hanging="426"/>
        <w:jc w:val="both"/>
        <w:outlineLvl w:val="1"/>
        <w:rPr>
          <w:b/>
          <w:bCs/>
        </w:rPr>
      </w:pPr>
      <w:r>
        <w:rPr>
          <w:b/>
          <w:bCs/>
        </w:rPr>
        <w:t xml:space="preserve">5.3. Cijena ponude </w:t>
      </w:r>
    </w:p>
    <w:p w14:paraId="1C93E533" w14:textId="77777777" w:rsidR="00FC3969" w:rsidRDefault="00107CB3">
      <w:pPr>
        <w:widowControl w:val="0"/>
        <w:jc w:val="both"/>
        <w:outlineLvl w:val="1"/>
        <w:rPr>
          <w:rFonts w:eastAsia="SimSun" w:cs="SimSun"/>
        </w:rPr>
      </w:pPr>
      <w:r>
        <w:rPr>
          <w:rFonts w:eastAsia="SimSun" w:cs="SimSun"/>
        </w:rPr>
        <w:t xml:space="preserve">Cijena ponude izražava se za cjelokupni predmet nabave. Cijena ponude izražena je u kunama i piše se brojkama u apsolutnom iznosu, zaokružena na dvije decimale i izračunava se sukladno troškovniku koji je sastavni dio ovog Poziva. U cijenu ponude bez poreza na dodanu vrijednost moraju biti uračunati svi troškovi i popusti. </w:t>
      </w:r>
    </w:p>
    <w:p w14:paraId="70CC8807" w14:textId="2863C3E4" w:rsidR="00FC3969" w:rsidRDefault="00107CB3">
      <w:pPr>
        <w:widowControl w:val="0"/>
        <w:jc w:val="both"/>
        <w:outlineLvl w:val="1"/>
        <w:rPr>
          <w:rFonts w:eastAsia="SimSun" w:cs="SimSun"/>
        </w:rPr>
      </w:pPr>
      <w:r>
        <w:rPr>
          <w:rFonts w:eastAsia="SimSun" w:cs="SimSun"/>
        </w:rPr>
        <w:t>Cijena ponude je nepromjenjiva za vrijeme trajanja ug</w:t>
      </w:r>
      <w:r w:rsidR="000625E6">
        <w:rPr>
          <w:rFonts w:eastAsia="SimSun" w:cs="SimSun"/>
        </w:rPr>
        <w:t>o</w:t>
      </w:r>
      <w:r>
        <w:rPr>
          <w:rFonts w:eastAsia="SimSun" w:cs="SimSun"/>
        </w:rPr>
        <w:t xml:space="preserve">vora. </w:t>
      </w:r>
    </w:p>
    <w:p w14:paraId="718B5EB7" w14:textId="77777777" w:rsidR="00FC3969" w:rsidRDefault="00107CB3">
      <w:pPr>
        <w:widowControl w:val="0"/>
        <w:jc w:val="both"/>
        <w:outlineLvl w:val="1"/>
        <w:rPr>
          <w:rFonts w:eastAsia="SimSun" w:cs="SimSun"/>
        </w:rPr>
      </w:pPr>
      <w:r>
        <w:rPr>
          <w:rFonts w:eastAsia="SimSun" w:cs="SimSun"/>
        </w:rPr>
        <w:t xml:space="preserve">Cijenu ponude bez PDV-a i cijenu ponude s PDV-om potrebno je upisati na ponudbenom listu na način kako je to određeno u ponudbenom listu. </w:t>
      </w:r>
    </w:p>
    <w:p w14:paraId="0ABD7B29" w14:textId="46DB5A19" w:rsidR="00FC3969" w:rsidRDefault="00107CB3">
      <w:pPr>
        <w:widowControl w:val="0"/>
        <w:jc w:val="both"/>
        <w:outlineLvl w:val="1"/>
        <w:rPr>
          <w:rFonts w:eastAsia="SimSun" w:cs="SimSun"/>
        </w:rPr>
      </w:pPr>
      <w:r>
        <w:rPr>
          <w:rFonts w:eastAsia="SimSun" w:cs="SimSun"/>
        </w:rPr>
        <w:t>Ako gospodarski subjekt nije u sustavu poreza na dodanu vrijednost ili je predmet nabave oslobođen poreza na dodanu vrijednost, u ponudbenom listu, na mjestu predviđenom za upis cijene ponude s porezom na dodanu vrijednost, upisuje se isti iznos kao što je upisan na mjestu predviđenom za upis cijene ponude bez poreza na dodanu vrijednost, a mjesto predviđeno za upis iznosa poreza na dodanu vrijednost ostavlja se prazno.</w:t>
      </w:r>
    </w:p>
    <w:p w14:paraId="222A7DEE" w14:textId="497DB0C0" w:rsidR="00E42D32" w:rsidRPr="000B6C89" w:rsidRDefault="00F84D32">
      <w:pPr>
        <w:widowControl w:val="0"/>
        <w:jc w:val="both"/>
        <w:outlineLvl w:val="1"/>
      </w:pPr>
      <w:r w:rsidRPr="000B6C89">
        <w:t xml:space="preserve">Ponuda se dostavlja s cijenom izraženom bez poreza na dodanu vrijednost (PDV-a), porezom na dodanu vrijednost (PDV-om) </w:t>
      </w:r>
      <w:r w:rsidR="007D1D5C">
        <w:t xml:space="preserve">i </w:t>
      </w:r>
      <w:r w:rsidR="001A580B" w:rsidRPr="000B6C89">
        <w:t>posebno iskazanim porezom n</w:t>
      </w:r>
      <w:r w:rsidR="007D1D5C">
        <w:t>a promet motornih vozila (PPMV),</w:t>
      </w:r>
      <w:r w:rsidRPr="000B6C89">
        <w:t xml:space="preserve"> te ukupnom cijenom p</w:t>
      </w:r>
      <w:r w:rsidR="007D1D5C">
        <w:t xml:space="preserve">onude uključujući pripadajući PDV i PPMV. </w:t>
      </w:r>
      <w:r w:rsidRPr="000B6C89">
        <w:t xml:space="preserve"> </w:t>
      </w:r>
    </w:p>
    <w:p w14:paraId="18B70EC0" w14:textId="77777777" w:rsidR="00BD3DB4" w:rsidRPr="00BD3DB4" w:rsidRDefault="00BD3DB4">
      <w:pPr>
        <w:widowControl w:val="0"/>
        <w:jc w:val="both"/>
        <w:outlineLvl w:val="1"/>
        <w:rPr>
          <w:color w:val="FF0000"/>
        </w:rPr>
      </w:pPr>
    </w:p>
    <w:p w14:paraId="532DE97A" w14:textId="77777777" w:rsidR="00FC3969" w:rsidRPr="00E42D32" w:rsidRDefault="00107CB3" w:rsidP="00083144">
      <w:pPr>
        <w:widowControl w:val="0"/>
        <w:shd w:val="clear" w:color="auto" w:fill="FFFFFF" w:themeFill="background1"/>
        <w:jc w:val="both"/>
        <w:outlineLvl w:val="1"/>
        <w:rPr>
          <w:b/>
          <w:bCs/>
        </w:rPr>
      </w:pPr>
      <w:r w:rsidRPr="00E42D32">
        <w:rPr>
          <w:b/>
          <w:bCs/>
        </w:rPr>
        <w:t xml:space="preserve">5.4. Kriterij za odabir ponude </w:t>
      </w:r>
    </w:p>
    <w:p w14:paraId="2362DB3E" w14:textId="7773153C" w:rsidR="00A67447" w:rsidRDefault="00107CB3" w:rsidP="00F41494">
      <w:pPr>
        <w:widowControl w:val="0"/>
        <w:spacing w:after="0" w:line="240" w:lineRule="auto"/>
        <w:jc w:val="both"/>
        <w:outlineLvl w:val="1"/>
      </w:pPr>
      <w:r>
        <w:t>Kriterij za odabir po</w:t>
      </w:r>
      <w:r w:rsidR="00A67447">
        <w:t>nude je ekonomski najpovoljnija ponuda</w:t>
      </w:r>
      <w:r w:rsidR="007E108A">
        <w:t xml:space="preserve"> (ENP)</w:t>
      </w:r>
      <w:r w:rsidR="00A67447">
        <w:t xml:space="preserve">. </w:t>
      </w:r>
    </w:p>
    <w:p w14:paraId="1096BB06" w14:textId="77777777" w:rsidR="00F41494" w:rsidRDefault="00F41494" w:rsidP="00F41494">
      <w:pPr>
        <w:widowControl w:val="0"/>
        <w:spacing w:after="0" w:line="240" w:lineRule="auto"/>
        <w:jc w:val="both"/>
        <w:outlineLvl w:val="1"/>
      </w:pPr>
      <w:r>
        <w:t xml:space="preserve">Kriteriji odabira i njihov relativni značaj prikazani su u tablici u nastavku. </w:t>
      </w:r>
    </w:p>
    <w:p w14:paraId="15028DEB" w14:textId="0D32FBF4" w:rsidR="00F41494" w:rsidRDefault="00F41494" w:rsidP="00F41494">
      <w:pPr>
        <w:widowControl w:val="0"/>
        <w:spacing w:after="0" w:line="240" w:lineRule="auto"/>
        <w:jc w:val="both"/>
        <w:outlineLvl w:val="1"/>
      </w:pPr>
      <w:r>
        <w:t>Kriteriji za odabir ekonomski najpovoljnije ponude i njihov relativan značaj:</w:t>
      </w:r>
    </w:p>
    <w:p w14:paraId="77F8657A" w14:textId="77777777" w:rsidR="00753196" w:rsidRDefault="00753196" w:rsidP="00F41494">
      <w:pPr>
        <w:widowControl w:val="0"/>
        <w:spacing w:after="0" w:line="240" w:lineRule="auto"/>
        <w:jc w:val="both"/>
        <w:outlineLvl w:val="1"/>
      </w:pPr>
    </w:p>
    <w:tbl>
      <w:tblPr>
        <w:tblStyle w:val="Reetkatablice"/>
        <w:tblW w:w="0" w:type="auto"/>
        <w:tblLook w:val="04A0" w:firstRow="1" w:lastRow="0" w:firstColumn="1" w:lastColumn="0" w:noHBand="0" w:noVBand="1"/>
      </w:tblPr>
      <w:tblGrid>
        <w:gridCol w:w="1165"/>
        <w:gridCol w:w="3933"/>
        <w:gridCol w:w="1467"/>
        <w:gridCol w:w="1731"/>
      </w:tblGrid>
      <w:tr w:rsidR="00F41494" w14:paraId="0E0BD878" w14:textId="77777777" w:rsidTr="00546B06">
        <w:tc>
          <w:tcPr>
            <w:tcW w:w="1165" w:type="dxa"/>
            <w:shd w:val="clear" w:color="auto" w:fill="FBE4D5" w:themeFill="accent2" w:themeFillTint="33"/>
          </w:tcPr>
          <w:p w14:paraId="7025402A" w14:textId="77777777" w:rsidR="00F41494" w:rsidRPr="00D65720" w:rsidRDefault="00F41494" w:rsidP="00753196">
            <w:pPr>
              <w:widowControl w:val="0"/>
              <w:spacing w:after="0" w:line="240" w:lineRule="auto"/>
              <w:jc w:val="both"/>
              <w:outlineLvl w:val="1"/>
              <w:rPr>
                <w:b/>
                <w:bCs/>
              </w:rPr>
            </w:pPr>
            <w:r w:rsidRPr="00D65720">
              <w:rPr>
                <w:b/>
                <w:bCs/>
              </w:rPr>
              <w:t>Redni</w:t>
            </w:r>
          </w:p>
          <w:p w14:paraId="0798915F" w14:textId="08B76B4E" w:rsidR="00F41494" w:rsidRPr="00D65720" w:rsidRDefault="00F41494" w:rsidP="00753196">
            <w:pPr>
              <w:widowControl w:val="0"/>
              <w:spacing w:after="0" w:line="240" w:lineRule="auto"/>
              <w:jc w:val="both"/>
              <w:outlineLvl w:val="1"/>
              <w:rPr>
                <w:b/>
                <w:bCs/>
              </w:rPr>
            </w:pPr>
            <w:r w:rsidRPr="00D65720">
              <w:rPr>
                <w:b/>
                <w:bCs/>
              </w:rPr>
              <w:t>broj</w:t>
            </w:r>
          </w:p>
        </w:tc>
        <w:tc>
          <w:tcPr>
            <w:tcW w:w="3933" w:type="dxa"/>
            <w:shd w:val="clear" w:color="auto" w:fill="FBE4D5" w:themeFill="accent2" w:themeFillTint="33"/>
          </w:tcPr>
          <w:p w14:paraId="030D9007" w14:textId="3AA3FC09" w:rsidR="00F41494" w:rsidRPr="00D65720" w:rsidRDefault="00F41494" w:rsidP="000B0AA4">
            <w:pPr>
              <w:widowControl w:val="0"/>
              <w:jc w:val="center"/>
              <w:outlineLvl w:val="1"/>
              <w:rPr>
                <w:b/>
                <w:bCs/>
              </w:rPr>
            </w:pPr>
            <w:r w:rsidRPr="00D65720">
              <w:rPr>
                <w:b/>
                <w:bCs/>
              </w:rPr>
              <w:t>Kriterij</w:t>
            </w:r>
          </w:p>
        </w:tc>
        <w:tc>
          <w:tcPr>
            <w:tcW w:w="1467" w:type="dxa"/>
            <w:shd w:val="clear" w:color="auto" w:fill="FBE4D5" w:themeFill="accent2" w:themeFillTint="33"/>
          </w:tcPr>
          <w:p w14:paraId="3A5B1DF5" w14:textId="5E1E6308" w:rsidR="00F41494" w:rsidRPr="00D65720" w:rsidRDefault="00F41494" w:rsidP="000B0AA4">
            <w:pPr>
              <w:widowControl w:val="0"/>
              <w:jc w:val="center"/>
              <w:outlineLvl w:val="1"/>
              <w:rPr>
                <w:b/>
                <w:bCs/>
              </w:rPr>
            </w:pPr>
            <w:r w:rsidRPr="00D65720">
              <w:rPr>
                <w:b/>
                <w:bCs/>
              </w:rPr>
              <w:t>Broj bodova</w:t>
            </w:r>
          </w:p>
        </w:tc>
        <w:tc>
          <w:tcPr>
            <w:tcW w:w="1731" w:type="dxa"/>
            <w:shd w:val="clear" w:color="auto" w:fill="FBE4D5" w:themeFill="accent2" w:themeFillTint="33"/>
          </w:tcPr>
          <w:p w14:paraId="5499096F" w14:textId="4ECA155A" w:rsidR="00F41494" w:rsidRPr="00D65720" w:rsidRDefault="00753196" w:rsidP="000B0AA4">
            <w:pPr>
              <w:widowControl w:val="0"/>
              <w:jc w:val="center"/>
              <w:outlineLvl w:val="1"/>
              <w:rPr>
                <w:b/>
                <w:bCs/>
              </w:rPr>
            </w:pPr>
            <w:r w:rsidRPr="00D65720">
              <w:rPr>
                <w:b/>
                <w:bCs/>
              </w:rPr>
              <w:t>Relativni značaj</w:t>
            </w:r>
          </w:p>
        </w:tc>
      </w:tr>
      <w:tr w:rsidR="00F41494" w14:paraId="68E2C8BC" w14:textId="77777777" w:rsidTr="00546B06">
        <w:tc>
          <w:tcPr>
            <w:tcW w:w="1165" w:type="dxa"/>
          </w:tcPr>
          <w:p w14:paraId="777C31B5" w14:textId="3990C2D9" w:rsidR="00F41494" w:rsidRDefault="004D55AA">
            <w:pPr>
              <w:widowControl w:val="0"/>
              <w:jc w:val="both"/>
              <w:outlineLvl w:val="1"/>
            </w:pPr>
            <w:r>
              <w:t>1.</w:t>
            </w:r>
          </w:p>
        </w:tc>
        <w:tc>
          <w:tcPr>
            <w:tcW w:w="3933" w:type="dxa"/>
          </w:tcPr>
          <w:p w14:paraId="728BDCD8" w14:textId="61FAAE7A" w:rsidR="00F41494" w:rsidRDefault="004D55AA">
            <w:pPr>
              <w:widowControl w:val="0"/>
              <w:jc w:val="both"/>
              <w:outlineLvl w:val="1"/>
            </w:pPr>
            <w:r>
              <w:t xml:space="preserve">Cijena ponude </w:t>
            </w:r>
            <w:r w:rsidR="006908F0">
              <w:t>s</w:t>
            </w:r>
            <w:r>
              <w:t xml:space="preserve"> PDV-</w:t>
            </w:r>
            <w:r w:rsidR="006908F0">
              <w:t>om</w:t>
            </w:r>
            <w:r>
              <w:t xml:space="preserve"> </w:t>
            </w:r>
            <w:r w:rsidR="008E2347">
              <w:t>i PPMV</w:t>
            </w:r>
            <w:r w:rsidR="00854536">
              <w:t>-om</w:t>
            </w:r>
            <w:r w:rsidR="008E2347">
              <w:t xml:space="preserve"> </w:t>
            </w:r>
            <w:r w:rsidR="00D34C0D">
              <w:t>(K1)</w:t>
            </w:r>
          </w:p>
        </w:tc>
        <w:tc>
          <w:tcPr>
            <w:tcW w:w="1467" w:type="dxa"/>
          </w:tcPr>
          <w:p w14:paraId="7AA4407A" w14:textId="54A0E305" w:rsidR="00F41494" w:rsidRDefault="0011043A" w:rsidP="0011043A">
            <w:pPr>
              <w:widowControl w:val="0"/>
              <w:jc w:val="center"/>
              <w:outlineLvl w:val="1"/>
            </w:pPr>
            <w:r>
              <w:t>70</w:t>
            </w:r>
          </w:p>
        </w:tc>
        <w:tc>
          <w:tcPr>
            <w:tcW w:w="1731" w:type="dxa"/>
          </w:tcPr>
          <w:p w14:paraId="0A4A8BD3" w14:textId="25CE16F3" w:rsidR="00F41494" w:rsidRDefault="0011043A" w:rsidP="0011043A">
            <w:pPr>
              <w:widowControl w:val="0"/>
              <w:jc w:val="center"/>
              <w:outlineLvl w:val="1"/>
            </w:pPr>
            <w:r>
              <w:t>70%</w:t>
            </w:r>
          </w:p>
        </w:tc>
      </w:tr>
      <w:tr w:rsidR="00F41494" w14:paraId="619C8708" w14:textId="77777777" w:rsidTr="00546B06">
        <w:tc>
          <w:tcPr>
            <w:tcW w:w="1165" w:type="dxa"/>
          </w:tcPr>
          <w:p w14:paraId="5F3BBF25" w14:textId="0647325C" w:rsidR="00F41494" w:rsidRDefault="004D55AA">
            <w:pPr>
              <w:widowControl w:val="0"/>
              <w:jc w:val="both"/>
              <w:outlineLvl w:val="1"/>
            </w:pPr>
            <w:r>
              <w:lastRenderedPageBreak/>
              <w:t>2.</w:t>
            </w:r>
          </w:p>
        </w:tc>
        <w:tc>
          <w:tcPr>
            <w:tcW w:w="3933" w:type="dxa"/>
          </w:tcPr>
          <w:p w14:paraId="1220C908" w14:textId="29933E7F" w:rsidR="00F41494" w:rsidRDefault="004D55AA">
            <w:pPr>
              <w:widowControl w:val="0"/>
              <w:jc w:val="both"/>
              <w:outlineLvl w:val="1"/>
            </w:pPr>
            <w:r>
              <w:t>Rok isporuke predmeta nabave</w:t>
            </w:r>
            <w:r w:rsidR="00D34C0D">
              <w:t xml:space="preserve"> (K2)</w:t>
            </w:r>
            <w:r>
              <w:t xml:space="preserve"> </w:t>
            </w:r>
          </w:p>
        </w:tc>
        <w:tc>
          <w:tcPr>
            <w:tcW w:w="1467" w:type="dxa"/>
          </w:tcPr>
          <w:p w14:paraId="0ECD028A" w14:textId="3E46712F" w:rsidR="00F41494" w:rsidRDefault="0011043A" w:rsidP="0011043A">
            <w:pPr>
              <w:widowControl w:val="0"/>
              <w:jc w:val="center"/>
              <w:outlineLvl w:val="1"/>
            </w:pPr>
            <w:r>
              <w:t>30</w:t>
            </w:r>
          </w:p>
        </w:tc>
        <w:tc>
          <w:tcPr>
            <w:tcW w:w="1731" w:type="dxa"/>
          </w:tcPr>
          <w:p w14:paraId="69E7184F" w14:textId="1B6D8C02" w:rsidR="00F41494" w:rsidRDefault="0011043A" w:rsidP="0011043A">
            <w:pPr>
              <w:widowControl w:val="0"/>
              <w:jc w:val="center"/>
              <w:outlineLvl w:val="1"/>
            </w:pPr>
            <w:r>
              <w:t>30%</w:t>
            </w:r>
          </w:p>
        </w:tc>
      </w:tr>
      <w:tr w:rsidR="00796C4F" w14:paraId="4A51538E" w14:textId="77777777" w:rsidTr="00546B06">
        <w:tc>
          <w:tcPr>
            <w:tcW w:w="5098" w:type="dxa"/>
            <w:gridSpan w:val="2"/>
          </w:tcPr>
          <w:p w14:paraId="75B8DCB9" w14:textId="39F609DC" w:rsidR="00796C4F" w:rsidRPr="00796C4F" w:rsidRDefault="00796C4F" w:rsidP="00796C4F">
            <w:pPr>
              <w:widowControl w:val="0"/>
              <w:jc w:val="right"/>
              <w:outlineLvl w:val="1"/>
              <w:rPr>
                <w:b/>
                <w:bCs/>
              </w:rPr>
            </w:pPr>
            <w:r w:rsidRPr="00796C4F">
              <w:rPr>
                <w:b/>
                <w:bCs/>
              </w:rPr>
              <w:t xml:space="preserve">Maksimalni broj bodova </w:t>
            </w:r>
          </w:p>
        </w:tc>
        <w:tc>
          <w:tcPr>
            <w:tcW w:w="1467" w:type="dxa"/>
          </w:tcPr>
          <w:p w14:paraId="4FF898D2" w14:textId="2FFFF1BC" w:rsidR="00796C4F" w:rsidRPr="00796C4F" w:rsidRDefault="00796C4F" w:rsidP="00796C4F">
            <w:pPr>
              <w:widowControl w:val="0"/>
              <w:jc w:val="center"/>
              <w:outlineLvl w:val="1"/>
              <w:rPr>
                <w:b/>
                <w:bCs/>
              </w:rPr>
            </w:pPr>
            <w:r w:rsidRPr="00796C4F">
              <w:rPr>
                <w:b/>
                <w:bCs/>
              </w:rPr>
              <w:t>100</w:t>
            </w:r>
          </w:p>
        </w:tc>
        <w:tc>
          <w:tcPr>
            <w:tcW w:w="1731" w:type="dxa"/>
          </w:tcPr>
          <w:p w14:paraId="0F0B949F" w14:textId="57AC1A2D" w:rsidR="00796C4F" w:rsidRPr="00796C4F" w:rsidRDefault="00796C4F" w:rsidP="00796C4F">
            <w:pPr>
              <w:widowControl w:val="0"/>
              <w:jc w:val="center"/>
              <w:outlineLvl w:val="1"/>
              <w:rPr>
                <w:b/>
                <w:bCs/>
              </w:rPr>
            </w:pPr>
            <w:r w:rsidRPr="00796C4F">
              <w:rPr>
                <w:b/>
                <w:bCs/>
              </w:rPr>
              <w:t>100%</w:t>
            </w:r>
          </w:p>
        </w:tc>
      </w:tr>
    </w:tbl>
    <w:p w14:paraId="3D2E0CDD" w14:textId="2AB04D4F" w:rsidR="00F41494" w:rsidRDefault="00F41494">
      <w:pPr>
        <w:widowControl w:val="0"/>
        <w:jc w:val="both"/>
        <w:outlineLvl w:val="1"/>
      </w:pPr>
    </w:p>
    <w:p w14:paraId="7FA06B29" w14:textId="77777777" w:rsidR="006E04F6" w:rsidRDefault="009413AD">
      <w:pPr>
        <w:widowControl w:val="0"/>
        <w:jc w:val="both"/>
        <w:outlineLvl w:val="1"/>
      </w:pPr>
      <w:r>
        <w:t xml:space="preserve">Ukupan broj bodova daje zbroj dobivenih bodova za navedena dva kriterija te ponuda s najviše dobivenih bodova je ekonomski najpovoljnija ponuda, </w:t>
      </w:r>
    </w:p>
    <w:p w14:paraId="42FCF33E" w14:textId="77777777" w:rsidR="006E04F6" w:rsidRDefault="009413AD">
      <w:pPr>
        <w:widowControl w:val="0"/>
        <w:jc w:val="both"/>
        <w:outlineLvl w:val="1"/>
      </w:pPr>
      <w:r>
        <w:t xml:space="preserve">odnosno ENP = </w:t>
      </w:r>
      <w:proofErr w:type="spellStart"/>
      <w:r>
        <w:t>max</w:t>
      </w:r>
      <w:proofErr w:type="spellEnd"/>
      <w:r>
        <w:t xml:space="preserve"> (K1 + K2) </w:t>
      </w:r>
    </w:p>
    <w:p w14:paraId="48928D11" w14:textId="483C0E49" w:rsidR="00F41494" w:rsidRDefault="009413AD">
      <w:pPr>
        <w:widowControl w:val="0"/>
        <w:jc w:val="both"/>
        <w:outlineLvl w:val="1"/>
      </w:pPr>
      <w:r>
        <w:t>Ako su dvije ili više valjanih ponuda jednako rangirane prema kriteriju za odabir ponude, Naručitelj će odabrati ponudu koja je zaprimljena ranije.</w:t>
      </w:r>
    </w:p>
    <w:p w14:paraId="76693228" w14:textId="77777777" w:rsidR="00785955" w:rsidRDefault="00785955" w:rsidP="00785955">
      <w:pPr>
        <w:widowControl w:val="0"/>
        <w:jc w:val="both"/>
        <w:outlineLvl w:val="1"/>
      </w:pPr>
    </w:p>
    <w:p w14:paraId="1CC17BC7" w14:textId="77777777" w:rsidR="00541518" w:rsidRPr="00541518" w:rsidRDefault="00541518" w:rsidP="00541518">
      <w:pPr>
        <w:pStyle w:val="Odlomakpopisa"/>
        <w:widowControl w:val="0"/>
        <w:numPr>
          <w:ilvl w:val="0"/>
          <w:numId w:val="20"/>
        </w:numPr>
        <w:jc w:val="both"/>
        <w:outlineLvl w:val="1"/>
        <w:rPr>
          <w:b/>
          <w:bCs/>
        </w:rPr>
      </w:pPr>
      <w:r w:rsidRPr="00541518">
        <w:rPr>
          <w:b/>
          <w:bCs/>
        </w:rPr>
        <w:t xml:space="preserve">CIJENA PONUDE (K1) </w:t>
      </w:r>
    </w:p>
    <w:p w14:paraId="7E436AFF" w14:textId="6DEFD9D4" w:rsidR="00541518" w:rsidRDefault="00541518" w:rsidP="00821745">
      <w:pPr>
        <w:pStyle w:val="Odlomakpopisa"/>
        <w:widowControl w:val="0"/>
        <w:jc w:val="both"/>
        <w:outlineLvl w:val="1"/>
      </w:pPr>
    </w:p>
    <w:tbl>
      <w:tblPr>
        <w:tblStyle w:val="Reetkatablice"/>
        <w:tblW w:w="0" w:type="auto"/>
        <w:tblLook w:val="04A0" w:firstRow="1" w:lastRow="0" w:firstColumn="1" w:lastColumn="0" w:noHBand="0" w:noVBand="1"/>
      </w:tblPr>
      <w:tblGrid>
        <w:gridCol w:w="1165"/>
        <w:gridCol w:w="5400"/>
        <w:gridCol w:w="1710"/>
      </w:tblGrid>
      <w:tr w:rsidR="00821745" w14:paraId="422CA238" w14:textId="77777777" w:rsidTr="00821745">
        <w:tc>
          <w:tcPr>
            <w:tcW w:w="1165" w:type="dxa"/>
            <w:shd w:val="clear" w:color="auto" w:fill="FBE4D5" w:themeFill="accent2" w:themeFillTint="33"/>
          </w:tcPr>
          <w:p w14:paraId="0D056B05" w14:textId="77777777" w:rsidR="00821745" w:rsidRPr="00D65720" w:rsidRDefault="00821745" w:rsidP="00A51C20">
            <w:pPr>
              <w:widowControl w:val="0"/>
              <w:spacing w:after="0" w:line="240" w:lineRule="auto"/>
              <w:jc w:val="both"/>
              <w:outlineLvl w:val="1"/>
              <w:rPr>
                <w:b/>
                <w:bCs/>
              </w:rPr>
            </w:pPr>
            <w:r w:rsidRPr="00D65720">
              <w:rPr>
                <w:b/>
                <w:bCs/>
              </w:rPr>
              <w:t>Redni</w:t>
            </w:r>
          </w:p>
          <w:p w14:paraId="23E74794" w14:textId="77777777" w:rsidR="00821745" w:rsidRPr="00D65720" w:rsidRDefault="00821745" w:rsidP="00A51C20">
            <w:pPr>
              <w:widowControl w:val="0"/>
              <w:spacing w:after="0" w:line="240" w:lineRule="auto"/>
              <w:jc w:val="both"/>
              <w:outlineLvl w:val="1"/>
              <w:rPr>
                <w:b/>
                <w:bCs/>
              </w:rPr>
            </w:pPr>
            <w:r w:rsidRPr="00D65720">
              <w:rPr>
                <w:b/>
                <w:bCs/>
              </w:rPr>
              <w:t>broj</w:t>
            </w:r>
          </w:p>
        </w:tc>
        <w:tc>
          <w:tcPr>
            <w:tcW w:w="5400" w:type="dxa"/>
            <w:shd w:val="clear" w:color="auto" w:fill="FBE4D5" w:themeFill="accent2" w:themeFillTint="33"/>
          </w:tcPr>
          <w:p w14:paraId="7AB1CB69" w14:textId="2CD02C92" w:rsidR="00821745" w:rsidRPr="00D65720" w:rsidRDefault="00821745" w:rsidP="00A51C20">
            <w:pPr>
              <w:widowControl w:val="0"/>
              <w:jc w:val="center"/>
              <w:outlineLvl w:val="1"/>
              <w:rPr>
                <w:b/>
                <w:bCs/>
              </w:rPr>
            </w:pPr>
            <w:r w:rsidRPr="00D65720">
              <w:rPr>
                <w:b/>
                <w:bCs/>
              </w:rPr>
              <w:t xml:space="preserve">Kriterij         </w:t>
            </w:r>
          </w:p>
        </w:tc>
        <w:tc>
          <w:tcPr>
            <w:tcW w:w="1710" w:type="dxa"/>
            <w:shd w:val="clear" w:color="auto" w:fill="FBE4D5" w:themeFill="accent2" w:themeFillTint="33"/>
          </w:tcPr>
          <w:p w14:paraId="11D56266" w14:textId="77777777" w:rsidR="00821745" w:rsidRPr="00D65720" w:rsidRDefault="00821745" w:rsidP="00A51C20">
            <w:pPr>
              <w:widowControl w:val="0"/>
              <w:jc w:val="center"/>
              <w:outlineLvl w:val="1"/>
              <w:rPr>
                <w:b/>
                <w:bCs/>
              </w:rPr>
            </w:pPr>
            <w:r w:rsidRPr="00D65720">
              <w:rPr>
                <w:b/>
                <w:bCs/>
              </w:rPr>
              <w:t>Broj bodova</w:t>
            </w:r>
          </w:p>
        </w:tc>
      </w:tr>
      <w:tr w:rsidR="00821745" w14:paraId="764F294A" w14:textId="77777777" w:rsidTr="00821745">
        <w:tc>
          <w:tcPr>
            <w:tcW w:w="1165" w:type="dxa"/>
          </w:tcPr>
          <w:p w14:paraId="45581CE7" w14:textId="77777777" w:rsidR="00821745" w:rsidRDefault="00821745" w:rsidP="00A51C20">
            <w:pPr>
              <w:widowControl w:val="0"/>
              <w:jc w:val="both"/>
              <w:outlineLvl w:val="1"/>
            </w:pPr>
            <w:r>
              <w:t>1.</w:t>
            </w:r>
          </w:p>
        </w:tc>
        <w:tc>
          <w:tcPr>
            <w:tcW w:w="5400" w:type="dxa"/>
          </w:tcPr>
          <w:p w14:paraId="6059AC99" w14:textId="7B641726" w:rsidR="00821745" w:rsidRDefault="00821745" w:rsidP="00A51C20">
            <w:pPr>
              <w:widowControl w:val="0"/>
              <w:jc w:val="both"/>
              <w:outlineLvl w:val="1"/>
            </w:pPr>
            <w:r>
              <w:t xml:space="preserve">Cijena ponude </w:t>
            </w:r>
            <w:r w:rsidR="008D0FD7">
              <w:t>s</w:t>
            </w:r>
            <w:r>
              <w:t xml:space="preserve"> PDV-</w:t>
            </w:r>
            <w:r w:rsidR="008D0FD7">
              <w:t>om</w:t>
            </w:r>
            <w:r>
              <w:t xml:space="preserve"> </w:t>
            </w:r>
            <w:r w:rsidR="00E50ECF">
              <w:t>i PPMV</w:t>
            </w:r>
            <w:r w:rsidR="00E05FDF">
              <w:t>-om</w:t>
            </w:r>
          </w:p>
        </w:tc>
        <w:tc>
          <w:tcPr>
            <w:tcW w:w="1710" w:type="dxa"/>
          </w:tcPr>
          <w:p w14:paraId="6B3F4BE3" w14:textId="77777777" w:rsidR="00821745" w:rsidRDefault="00821745" w:rsidP="00A51C20">
            <w:pPr>
              <w:widowControl w:val="0"/>
              <w:jc w:val="center"/>
              <w:outlineLvl w:val="1"/>
            </w:pPr>
            <w:r>
              <w:t>70</w:t>
            </w:r>
          </w:p>
        </w:tc>
      </w:tr>
      <w:tr w:rsidR="00821745" w14:paraId="428EF2A9" w14:textId="77777777" w:rsidTr="00F13AB7">
        <w:tc>
          <w:tcPr>
            <w:tcW w:w="6565" w:type="dxa"/>
            <w:gridSpan w:val="2"/>
          </w:tcPr>
          <w:p w14:paraId="71CC3391" w14:textId="7041AED0" w:rsidR="00821745" w:rsidRPr="00821745" w:rsidRDefault="00821745" w:rsidP="00821745">
            <w:pPr>
              <w:widowControl w:val="0"/>
              <w:jc w:val="right"/>
              <w:outlineLvl w:val="1"/>
              <w:rPr>
                <w:b/>
                <w:bCs/>
              </w:rPr>
            </w:pPr>
            <w:r w:rsidRPr="00821745">
              <w:rPr>
                <w:b/>
                <w:bCs/>
              </w:rPr>
              <w:t xml:space="preserve">Maksimalni broj bodova </w:t>
            </w:r>
          </w:p>
        </w:tc>
        <w:tc>
          <w:tcPr>
            <w:tcW w:w="1710" w:type="dxa"/>
          </w:tcPr>
          <w:p w14:paraId="41E32854" w14:textId="2B7A3E89" w:rsidR="00821745" w:rsidRPr="0044768E" w:rsidRDefault="00821745" w:rsidP="00A51C20">
            <w:pPr>
              <w:widowControl w:val="0"/>
              <w:jc w:val="center"/>
              <w:outlineLvl w:val="1"/>
              <w:rPr>
                <w:b/>
                <w:bCs/>
              </w:rPr>
            </w:pPr>
            <w:r w:rsidRPr="0044768E">
              <w:rPr>
                <w:b/>
                <w:bCs/>
              </w:rPr>
              <w:t>70</w:t>
            </w:r>
          </w:p>
        </w:tc>
      </w:tr>
    </w:tbl>
    <w:p w14:paraId="39764D23" w14:textId="77777777" w:rsidR="001D43E2" w:rsidRDefault="00A27F2E" w:rsidP="00A27F2E">
      <w:pPr>
        <w:widowControl w:val="0"/>
        <w:jc w:val="both"/>
        <w:outlineLvl w:val="1"/>
      </w:pPr>
      <w:r>
        <w:t xml:space="preserve">Maksimalan broj bodova koje Ponuditelj može ostvariti u okviru kriterija cijene ponude je 70. Ponuditelj čija je cijena prihvatljive ponude najniža ostvarit će maksimalan broj bodova. </w:t>
      </w:r>
    </w:p>
    <w:p w14:paraId="402A2DA3" w14:textId="0407C752" w:rsidR="00224494" w:rsidRDefault="00A27F2E" w:rsidP="00A27F2E">
      <w:pPr>
        <w:widowControl w:val="0"/>
        <w:jc w:val="both"/>
        <w:outlineLvl w:val="1"/>
      </w:pPr>
      <w:r>
        <w:t xml:space="preserve">Bodovna vrijednosti ponuda drugih ponuditelja će se određivati korištenjem sljedeće formule: </w:t>
      </w:r>
    </w:p>
    <w:tbl>
      <w:tblPr>
        <w:tblW w:w="8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9"/>
      </w:tblGrid>
      <w:tr w:rsidR="00590A59" w14:paraId="17F7815A" w14:textId="77777777" w:rsidTr="0042064E">
        <w:trPr>
          <w:trHeight w:val="368"/>
        </w:trPr>
        <w:tc>
          <w:tcPr>
            <w:tcW w:w="8399" w:type="dxa"/>
          </w:tcPr>
          <w:p w14:paraId="0F3FA707" w14:textId="6BD27730" w:rsidR="00590A59" w:rsidRPr="0042064E" w:rsidRDefault="00590A59" w:rsidP="0042064E">
            <w:pPr>
              <w:widowControl w:val="0"/>
              <w:jc w:val="center"/>
              <w:outlineLvl w:val="1"/>
              <w:rPr>
                <w:b/>
                <w:bCs/>
              </w:rPr>
            </w:pPr>
            <w:r w:rsidRPr="0042064E">
              <w:rPr>
                <w:b/>
                <w:bCs/>
              </w:rPr>
              <w:t>broj bodova = najniža cijena ponude / cijena ponude * 70</w:t>
            </w:r>
          </w:p>
        </w:tc>
      </w:tr>
    </w:tbl>
    <w:p w14:paraId="0CB10E64" w14:textId="77777777" w:rsidR="00E60869" w:rsidRDefault="00E60869" w:rsidP="00A27F2E">
      <w:pPr>
        <w:widowControl w:val="0"/>
        <w:jc w:val="both"/>
        <w:outlineLvl w:val="1"/>
      </w:pPr>
    </w:p>
    <w:p w14:paraId="42E7F22E" w14:textId="577C5837" w:rsidR="00762DB6" w:rsidRDefault="003C1474" w:rsidP="003C1474">
      <w:pPr>
        <w:pStyle w:val="Odlomakpopisa"/>
        <w:widowControl w:val="0"/>
        <w:numPr>
          <w:ilvl w:val="0"/>
          <w:numId w:val="20"/>
        </w:numPr>
        <w:spacing w:after="0" w:line="240" w:lineRule="auto"/>
        <w:jc w:val="both"/>
        <w:outlineLvl w:val="1"/>
        <w:rPr>
          <w:b/>
          <w:iCs/>
        </w:rPr>
      </w:pPr>
      <w:r w:rsidRPr="003C1474">
        <w:rPr>
          <w:b/>
          <w:iCs/>
        </w:rPr>
        <w:t>ROK ISPORUKE PREDMETA NABAVE (K2)</w:t>
      </w:r>
    </w:p>
    <w:p w14:paraId="5851240D" w14:textId="2F6758B8" w:rsidR="003C1474" w:rsidRDefault="003C1474" w:rsidP="00574B04">
      <w:pPr>
        <w:widowControl w:val="0"/>
        <w:spacing w:after="0" w:line="240" w:lineRule="auto"/>
        <w:ind w:left="360"/>
        <w:jc w:val="both"/>
        <w:outlineLvl w:val="1"/>
        <w:rPr>
          <w:b/>
          <w:iCs/>
        </w:rPr>
      </w:pPr>
    </w:p>
    <w:tbl>
      <w:tblPr>
        <w:tblStyle w:val="Reetkatablice"/>
        <w:tblW w:w="0" w:type="auto"/>
        <w:tblLook w:val="04A0" w:firstRow="1" w:lastRow="0" w:firstColumn="1" w:lastColumn="0" w:noHBand="0" w:noVBand="1"/>
      </w:tblPr>
      <w:tblGrid>
        <w:gridCol w:w="1165"/>
        <w:gridCol w:w="5400"/>
        <w:gridCol w:w="1710"/>
      </w:tblGrid>
      <w:tr w:rsidR="00574B04" w14:paraId="2D11DE38" w14:textId="77777777" w:rsidTr="00A51C20">
        <w:tc>
          <w:tcPr>
            <w:tcW w:w="1165" w:type="dxa"/>
            <w:shd w:val="clear" w:color="auto" w:fill="FBE4D5" w:themeFill="accent2" w:themeFillTint="33"/>
          </w:tcPr>
          <w:p w14:paraId="22317F52" w14:textId="77777777" w:rsidR="00574B04" w:rsidRPr="00D65720" w:rsidRDefault="00574B04" w:rsidP="00A51C20">
            <w:pPr>
              <w:widowControl w:val="0"/>
              <w:spacing w:after="0" w:line="240" w:lineRule="auto"/>
              <w:jc w:val="both"/>
              <w:outlineLvl w:val="1"/>
              <w:rPr>
                <w:b/>
                <w:bCs/>
              </w:rPr>
            </w:pPr>
            <w:r w:rsidRPr="00D65720">
              <w:rPr>
                <w:b/>
                <w:bCs/>
              </w:rPr>
              <w:t>Redni</w:t>
            </w:r>
          </w:p>
          <w:p w14:paraId="5FEE3864" w14:textId="77777777" w:rsidR="00574B04" w:rsidRPr="00D65720" w:rsidRDefault="00574B04" w:rsidP="00A51C20">
            <w:pPr>
              <w:widowControl w:val="0"/>
              <w:spacing w:after="0" w:line="240" w:lineRule="auto"/>
              <w:jc w:val="both"/>
              <w:outlineLvl w:val="1"/>
              <w:rPr>
                <w:b/>
                <w:bCs/>
              </w:rPr>
            </w:pPr>
            <w:r w:rsidRPr="00D65720">
              <w:rPr>
                <w:b/>
                <w:bCs/>
              </w:rPr>
              <w:t>broj</w:t>
            </w:r>
          </w:p>
        </w:tc>
        <w:tc>
          <w:tcPr>
            <w:tcW w:w="5400" w:type="dxa"/>
            <w:shd w:val="clear" w:color="auto" w:fill="FBE4D5" w:themeFill="accent2" w:themeFillTint="33"/>
          </w:tcPr>
          <w:p w14:paraId="50F638BB" w14:textId="77777777" w:rsidR="00574B04" w:rsidRPr="00D65720" w:rsidRDefault="00574B04" w:rsidP="00A51C20">
            <w:pPr>
              <w:widowControl w:val="0"/>
              <w:jc w:val="center"/>
              <w:outlineLvl w:val="1"/>
              <w:rPr>
                <w:b/>
                <w:bCs/>
              </w:rPr>
            </w:pPr>
            <w:r w:rsidRPr="00D65720">
              <w:rPr>
                <w:b/>
                <w:bCs/>
              </w:rPr>
              <w:t xml:space="preserve">Kriterij         </w:t>
            </w:r>
          </w:p>
        </w:tc>
        <w:tc>
          <w:tcPr>
            <w:tcW w:w="1710" w:type="dxa"/>
            <w:shd w:val="clear" w:color="auto" w:fill="FBE4D5" w:themeFill="accent2" w:themeFillTint="33"/>
          </w:tcPr>
          <w:p w14:paraId="10EB4710" w14:textId="7FB1D5F7" w:rsidR="00574B04" w:rsidRPr="00D65720" w:rsidRDefault="00D65720" w:rsidP="00A51C20">
            <w:pPr>
              <w:widowControl w:val="0"/>
              <w:jc w:val="center"/>
              <w:outlineLvl w:val="1"/>
              <w:rPr>
                <w:b/>
                <w:bCs/>
              </w:rPr>
            </w:pPr>
            <w:r>
              <w:rPr>
                <w:b/>
                <w:bCs/>
              </w:rPr>
              <w:t xml:space="preserve">Broj bodova </w:t>
            </w:r>
            <w:r w:rsidR="00574B04" w:rsidRPr="00D65720">
              <w:rPr>
                <w:b/>
                <w:bCs/>
              </w:rPr>
              <w:t xml:space="preserve"> </w:t>
            </w:r>
          </w:p>
        </w:tc>
      </w:tr>
      <w:tr w:rsidR="00574B04" w14:paraId="2425503A" w14:textId="77777777" w:rsidTr="00A51C20">
        <w:tc>
          <w:tcPr>
            <w:tcW w:w="1165" w:type="dxa"/>
          </w:tcPr>
          <w:p w14:paraId="2186E708" w14:textId="77777777" w:rsidR="00574B04" w:rsidRDefault="00574B04" w:rsidP="00A51C20">
            <w:pPr>
              <w:widowControl w:val="0"/>
              <w:jc w:val="both"/>
              <w:outlineLvl w:val="1"/>
            </w:pPr>
            <w:r>
              <w:t>1.</w:t>
            </w:r>
          </w:p>
        </w:tc>
        <w:tc>
          <w:tcPr>
            <w:tcW w:w="5400" w:type="dxa"/>
          </w:tcPr>
          <w:p w14:paraId="4F59EBD5" w14:textId="66625238" w:rsidR="00574B04" w:rsidRDefault="00AC6C4C" w:rsidP="00A51C20">
            <w:pPr>
              <w:widowControl w:val="0"/>
              <w:jc w:val="both"/>
              <w:outlineLvl w:val="1"/>
            </w:pPr>
            <w:r>
              <w:t xml:space="preserve">Rok isporuke predmeta nabave </w:t>
            </w:r>
          </w:p>
        </w:tc>
        <w:tc>
          <w:tcPr>
            <w:tcW w:w="1710" w:type="dxa"/>
          </w:tcPr>
          <w:p w14:paraId="47B9209F" w14:textId="31B1DA20" w:rsidR="00574B04" w:rsidRDefault="00AC6C4C" w:rsidP="00A51C20">
            <w:pPr>
              <w:widowControl w:val="0"/>
              <w:jc w:val="center"/>
              <w:outlineLvl w:val="1"/>
            </w:pPr>
            <w:r>
              <w:t>30</w:t>
            </w:r>
          </w:p>
        </w:tc>
      </w:tr>
      <w:tr w:rsidR="00574B04" w14:paraId="50E506B4" w14:textId="77777777" w:rsidTr="00A51C20">
        <w:tc>
          <w:tcPr>
            <w:tcW w:w="6565" w:type="dxa"/>
            <w:gridSpan w:val="2"/>
          </w:tcPr>
          <w:p w14:paraId="46837A17" w14:textId="77777777" w:rsidR="00574B04" w:rsidRPr="00821745" w:rsidRDefault="00574B04" w:rsidP="00A51C20">
            <w:pPr>
              <w:widowControl w:val="0"/>
              <w:jc w:val="right"/>
              <w:outlineLvl w:val="1"/>
              <w:rPr>
                <w:b/>
                <w:bCs/>
              </w:rPr>
            </w:pPr>
            <w:r w:rsidRPr="00821745">
              <w:rPr>
                <w:b/>
                <w:bCs/>
              </w:rPr>
              <w:t xml:space="preserve">Maksimalni broj bodova </w:t>
            </w:r>
          </w:p>
        </w:tc>
        <w:tc>
          <w:tcPr>
            <w:tcW w:w="1710" w:type="dxa"/>
          </w:tcPr>
          <w:p w14:paraId="3CEFA6F6" w14:textId="6954F909" w:rsidR="00574B04" w:rsidRPr="0044768E" w:rsidRDefault="00AC6C4C" w:rsidP="00A51C20">
            <w:pPr>
              <w:widowControl w:val="0"/>
              <w:jc w:val="center"/>
              <w:outlineLvl w:val="1"/>
              <w:rPr>
                <w:b/>
                <w:bCs/>
              </w:rPr>
            </w:pPr>
            <w:r w:rsidRPr="0044768E">
              <w:rPr>
                <w:b/>
                <w:bCs/>
              </w:rPr>
              <w:t>30</w:t>
            </w:r>
          </w:p>
        </w:tc>
      </w:tr>
    </w:tbl>
    <w:p w14:paraId="2AC3521A" w14:textId="77777777" w:rsidR="00574B04" w:rsidRPr="00574B04" w:rsidRDefault="00574B04" w:rsidP="00574B04">
      <w:pPr>
        <w:widowControl w:val="0"/>
        <w:spacing w:after="0" w:line="240" w:lineRule="auto"/>
        <w:ind w:left="360"/>
        <w:jc w:val="both"/>
        <w:outlineLvl w:val="1"/>
        <w:rPr>
          <w:b/>
          <w:iCs/>
        </w:rPr>
      </w:pPr>
    </w:p>
    <w:p w14:paraId="59628C58" w14:textId="77777777" w:rsidR="000C504F" w:rsidRDefault="003B3104" w:rsidP="00762DB6">
      <w:pPr>
        <w:widowControl w:val="0"/>
        <w:spacing w:after="0" w:line="240" w:lineRule="auto"/>
        <w:jc w:val="both"/>
        <w:outlineLvl w:val="1"/>
      </w:pPr>
      <w:r>
        <w:lastRenderedPageBreak/>
        <w:t xml:space="preserve">Naručitelj kao jedan od kriterija određuje rok isporuke predmeta nabave od dana potpisa ugovora o nabavi. </w:t>
      </w:r>
    </w:p>
    <w:p w14:paraId="30BBB1E2" w14:textId="2E944A9E" w:rsidR="003B3104" w:rsidRDefault="003B3104" w:rsidP="00762DB6">
      <w:pPr>
        <w:widowControl w:val="0"/>
        <w:spacing w:after="0" w:line="240" w:lineRule="auto"/>
        <w:jc w:val="both"/>
        <w:outlineLvl w:val="1"/>
      </w:pPr>
      <w:r>
        <w:t>Maksimalni broj bodova koji Ponuditelj može ostvariti u okviru ovog kriterija je 30</w:t>
      </w:r>
      <w:r w:rsidR="00C86DCD">
        <w:t>.</w:t>
      </w:r>
    </w:p>
    <w:p w14:paraId="49F4B60C" w14:textId="77777777" w:rsidR="003B3104" w:rsidRDefault="003B3104" w:rsidP="00762DB6">
      <w:pPr>
        <w:widowControl w:val="0"/>
        <w:spacing w:after="0" w:line="240" w:lineRule="auto"/>
        <w:jc w:val="both"/>
        <w:outlineLvl w:val="1"/>
      </w:pPr>
    </w:p>
    <w:p w14:paraId="01CEC1B8" w14:textId="15EF1266" w:rsidR="00744C4E" w:rsidRDefault="00762DB6" w:rsidP="00BE318B">
      <w:pPr>
        <w:widowControl w:val="0"/>
        <w:spacing w:after="0" w:line="240" w:lineRule="auto"/>
        <w:jc w:val="both"/>
        <w:outlineLvl w:val="1"/>
      </w:pPr>
      <w:r w:rsidRPr="00762DB6">
        <w:t xml:space="preserve">Maksimalno dopušteni rok isporuke je </w:t>
      </w:r>
      <w:r w:rsidR="00C86DCD">
        <w:t>1</w:t>
      </w:r>
      <w:r w:rsidR="00314A0C">
        <w:t>0</w:t>
      </w:r>
      <w:r w:rsidR="00690883">
        <w:t xml:space="preserve"> kalendarskih</w:t>
      </w:r>
      <w:r w:rsidRPr="00762DB6">
        <w:t xml:space="preserve"> dana od dana potpisa ugovora. </w:t>
      </w:r>
    </w:p>
    <w:p w14:paraId="1D09F8A8" w14:textId="77777777" w:rsidR="00AC6CE9" w:rsidRDefault="005376C8" w:rsidP="00BE318B">
      <w:pPr>
        <w:widowControl w:val="0"/>
        <w:spacing w:after="0" w:line="240" w:lineRule="auto"/>
        <w:jc w:val="both"/>
        <w:outlineLvl w:val="1"/>
      </w:pPr>
      <w:r w:rsidRPr="00354003">
        <w:rPr>
          <w:b/>
        </w:rPr>
        <w:t>Ponuditelj u ponudi dostavlja Izjavu o roku isporuke robe.</w:t>
      </w:r>
      <w:r w:rsidRPr="00AD5B5E">
        <w:t> Ponuda u kojoj je iskazan </w:t>
      </w:r>
    </w:p>
    <w:p w14:paraId="67FA3217" w14:textId="293CD026" w:rsidR="00D97773" w:rsidRPr="00AD5B5E" w:rsidRDefault="005376C8" w:rsidP="00BE318B">
      <w:pPr>
        <w:widowControl w:val="0"/>
        <w:spacing w:after="0" w:line="240" w:lineRule="auto"/>
        <w:jc w:val="both"/>
        <w:outlineLvl w:val="1"/>
      </w:pPr>
      <w:r w:rsidRPr="00AD5B5E">
        <w:t>najkra</w:t>
      </w:r>
      <w:r w:rsidR="00BE318B">
        <w:t>ć</w:t>
      </w:r>
      <w:r w:rsidRPr="00AD5B5E">
        <w:t>i rok isporuke dobiva maksimalan broj bodova.  </w:t>
      </w:r>
      <w:r w:rsidR="00D97773" w:rsidRPr="00AD5B5E">
        <w:t xml:space="preserve"> </w:t>
      </w:r>
    </w:p>
    <w:p w14:paraId="04608988" w14:textId="77777777" w:rsidR="00D97773" w:rsidRDefault="00D97773" w:rsidP="00D97773">
      <w:pPr>
        <w:widowControl w:val="0"/>
        <w:jc w:val="both"/>
        <w:outlineLvl w:val="1"/>
      </w:pPr>
      <w:r>
        <w:t xml:space="preserve">Bodovna vrijednosti ponuda drugih ponuditelja će se određivati korištenjem sljedeće formule: </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D97773" w14:paraId="4918FBEC" w14:textId="77777777" w:rsidTr="005463F8">
        <w:trPr>
          <w:trHeight w:val="368"/>
        </w:trPr>
        <w:tc>
          <w:tcPr>
            <w:tcW w:w="8640" w:type="dxa"/>
          </w:tcPr>
          <w:p w14:paraId="0688CC79" w14:textId="05E181E1" w:rsidR="00D97773" w:rsidRPr="0042064E" w:rsidRDefault="00D97773" w:rsidP="00A51C20">
            <w:pPr>
              <w:widowControl w:val="0"/>
              <w:jc w:val="center"/>
              <w:outlineLvl w:val="1"/>
              <w:rPr>
                <w:b/>
                <w:bCs/>
              </w:rPr>
            </w:pPr>
            <w:r w:rsidRPr="0042064E">
              <w:rPr>
                <w:b/>
                <w:bCs/>
              </w:rPr>
              <w:t xml:space="preserve">broj bodova = </w:t>
            </w:r>
            <w:r w:rsidR="005463F8">
              <w:rPr>
                <w:b/>
                <w:bCs/>
              </w:rPr>
              <w:t xml:space="preserve">najkraći rok isporuke predmeta nabave </w:t>
            </w:r>
            <w:r w:rsidRPr="0042064E">
              <w:rPr>
                <w:b/>
                <w:bCs/>
              </w:rPr>
              <w:t xml:space="preserve">/ </w:t>
            </w:r>
            <w:r w:rsidR="005463F8">
              <w:rPr>
                <w:b/>
                <w:bCs/>
              </w:rPr>
              <w:t>rok isporuke predmeta nabave</w:t>
            </w:r>
            <w:r w:rsidRPr="0042064E">
              <w:rPr>
                <w:b/>
                <w:bCs/>
              </w:rPr>
              <w:t xml:space="preserve"> * </w:t>
            </w:r>
            <w:r>
              <w:rPr>
                <w:b/>
                <w:bCs/>
              </w:rPr>
              <w:t>3</w:t>
            </w:r>
            <w:r w:rsidRPr="0042064E">
              <w:rPr>
                <w:b/>
                <w:bCs/>
              </w:rPr>
              <w:t>0</w:t>
            </w:r>
          </w:p>
        </w:tc>
      </w:tr>
    </w:tbl>
    <w:p w14:paraId="0D1AA5E7" w14:textId="77777777" w:rsidR="004259C4" w:rsidRDefault="004259C4">
      <w:pPr>
        <w:spacing w:before="120" w:after="120"/>
        <w:jc w:val="both"/>
      </w:pPr>
    </w:p>
    <w:p w14:paraId="0180A345" w14:textId="2814A895" w:rsidR="00FC3969" w:rsidRDefault="00DE07D6">
      <w:pPr>
        <w:spacing w:before="120" w:after="120"/>
        <w:jc w:val="both"/>
        <w:rPr>
          <w:b/>
          <w:bCs/>
        </w:rPr>
      </w:pPr>
      <w:r>
        <w:rPr>
          <w:b/>
          <w:bCs/>
        </w:rPr>
        <w:t>5</w:t>
      </w:r>
      <w:r w:rsidR="00107CB3">
        <w:rPr>
          <w:b/>
          <w:bCs/>
        </w:rPr>
        <w:t xml:space="preserve">.5. Način dostave ponude </w:t>
      </w:r>
    </w:p>
    <w:p w14:paraId="3F044092" w14:textId="77777777" w:rsidR="00FC3969" w:rsidRDefault="00107CB3">
      <w:pPr>
        <w:spacing w:before="120" w:after="120"/>
        <w:jc w:val="both"/>
      </w:pPr>
      <w:r>
        <w:t>Ponuda se dostavlja elektroničkim putem na način da se sva pripadajuća i tražena dokumentacija sa ponudbenim listom i troškovnikom skenira i u PDF formatu priloži kao privitak, te pošalje e-mailom na adresu:</w:t>
      </w:r>
    </w:p>
    <w:p w14:paraId="212DE4DA" w14:textId="77777777" w:rsidR="00FC3969" w:rsidRDefault="00AC3E84">
      <w:pPr>
        <w:widowControl w:val="0"/>
        <w:ind w:left="426" w:hanging="426"/>
        <w:jc w:val="both"/>
        <w:outlineLvl w:val="1"/>
        <w:rPr>
          <w:b/>
          <w:bCs/>
        </w:rPr>
      </w:pPr>
      <w:hyperlink r:id="rId15" w:history="1">
        <w:r w:rsidR="00107CB3">
          <w:rPr>
            <w:rStyle w:val="Hiperveza"/>
          </w:rPr>
          <w:t>info.dczr@gmail.com</w:t>
        </w:r>
      </w:hyperlink>
      <w:r w:rsidR="00107CB3">
        <w:t xml:space="preserve"> </w:t>
      </w:r>
    </w:p>
    <w:p w14:paraId="78B14CE5" w14:textId="77777777" w:rsidR="00FC3969" w:rsidRDefault="00107CB3">
      <w:pPr>
        <w:widowControl w:val="0"/>
        <w:ind w:left="426" w:hanging="426"/>
        <w:jc w:val="both"/>
        <w:outlineLvl w:val="1"/>
      </w:pPr>
      <w:r>
        <w:t xml:space="preserve">Predmet poruke je: </w:t>
      </w:r>
    </w:p>
    <w:p w14:paraId="44DFD4E4" w14:textId="77777777" w:rsidR="00FC3969" w:rsidRDefault="00107CB3">
      <w:pPr>
        <w:widowControl w:val="0"/>
        <w:jc w:val="both"/>
        <w:outlineLvl w:val="1"/>
      </w:pPr>
      <w:r>
        <w:t xml:space="preserve">“Jednostavna nabava - Ponuda za </w:t>
      </w:r>
      <w:r>
        <w:rPr>
          <w:rFonts w:cstheme="minorHAnsi"/>
          <w:sz w:val="24"/>
          <w:szCs w:val="24"/>
        </w:rPr>
        <w:t>n</w:t>
      </w:r>
      <w:r>
        <w:t>abavu novog osobnog vozila za potrebe provedbe projektnih aktivnosti u sklopu projekta UP.02.2.2.15.0078 “Rana podrška i rehabilitacija djeci s razvojnim rizicima i teškoćama u razvoju - Zajedno rastimo sigurnije”.</w:t>
      </w:r>
    </w:p>
    <w:p w14:paraId="59F717A7" w14:textId="77777777" w:rsidR="00FC3969" w:rsidRDefault="00107CB3">
      <w:pPr>
        <w:widowControl w:val="0"/>
        <w:jc w:val="both"/>
        <w:outlineLvl w:val="1"/>
      </w:pPr>
      <w:r>
        <w:t xml:space="preserve">Ponuda se može dostaviti i u sjedište Dnevnog centra za rehabilitaciju </w:t>
      </w:r>
      <w:proofErr w:type="spellStart"/>
      <w:r>
        <w:t>Veruda</w:t>
      </w:r>
      <w:proofErr w:type="spellEnd"/>
      <w:r>
        <w:t xml:space="preserve"> - Pula, 52100 Pula, Vidikovac 7, neposrednom predajom ili preporučenom pošiljkom. </w:t>
      </w:r>
    </w:p>
    <w:p w14:paraId="77533FED" w14:textId="77777777" w:rsidR="00FC3969" w:rsidRDefault="00107CB3">
      <w:pPr>
        <w:jc w:val="both"/>
      </w:pPr>
      <w:r>
        <w:t>Ako se ponuda dostavlja osobno ili poštom, dostavlja se u zatvorenoj omotnici na kojoj mora biti naznačen naziv i adresa ponuditelja uz naznaku:</w:t>
      </w:r>
    </w:p>
    <w:p w14:paraId="4FC85444" w14:textId="77777777" w:rsidR="00FC3969" w:rsidRDefault="00107CB3">
      <w:pPr>
        <w:widowControl w:val="0"/>
        <w:jc w:val="both"/>
        <w:outlineLvl w:val="1"/>
      </w:pPr>
      <w:r>
        <w:t xml:space="preserve">“Jednostavna nabava - Ponuda za </w:t>
      </w:r>
      <w:r>
        <w:rPr>
          <w:rFonts w:cstheme="minorHAnsi"/>
          <w:sz w:val="24"/>
          <w:szCs w:val="24"/>
        </w:rPr>
        <w:t>n</w:t>
      </w:r>
      <w:r>
        <w:t xml:space="preserve">abavu novog osobnog vozila za potrebe provedbe projektnih aktivnosti u sklopu projekta UP.02.2.2.15.0078 “Rana podrška i rehabilitacija djeci s razvojnim rizicima i teškoćama u razvoju - Zajedno rastimo sigurnije”- NE OTVARAJ”. </w:t>
      </w:r>
    </w:p>
    <w:p w14:paraId="5355A791" w14:textId="77777777" w:rsidR="00FC3969" w:rsidRDefault="00FC3969">
      <w:pPr>
        <w:jc w:val="both"/>
        <w:rPr>
          <w:rFonts w:eastAsia="SimSun" w:cs="SimSun"/>
          <w:b/>
          <w:bCs/>
        </w:rPr>
      </w:pPr>
    </w:p>
    <w:p w14:paraId="180A50FA" w14:textId="77777777" w:rsidR="00FC3969" w:rsidRDefault="00107CB3">
      <w:pPr>
        <w:jc w:val="both"/>
        <w:rPr>
          <w:rFonts w:eastAsia="SimSun" w:cs="SimSun"/>
          <w:b/>
          <w:bCs/>
        </w:rPr>
      </w:pPr>
      <w:r>
        <w:rPr>
          <w:rFonts w:eastAsia="SimSun" w:cs="SimSun"/>
          <w:b/>
          <w:bCs/>
        </w:rPr>
        <w:t xml:space="preserve">5.6. Rok za dostavu ponude </w:t>
      </w:r>
    </w:p>
    <w:p w14:paraId="112397C6" w14:textId="77777777" w:rsidR="00902B7D" w:rsidRDefault="00902B7D" w:rsidP="00902B7D">
      <w:pPr>
        <w:jc w:val="both"/>
        <w:rPr>
          <w:rFonts w:eastAsia="SimSun" w:cs="SimSun"/>
        </w:rPr>
      </w:pPr>
      <w:r>
        <w:rPr>
          <w:rFonts w:eastAsia="SimSun" w:cs="SimSun"/>
        </w:rPr>
        <w:t xml:space="preserve">Rok za dostavu ponude ne smije biti duži od 15 dana od dana upućivanja odnosno objavljivanja poziva za dostavu ponuda. </w:t>
      </w:r>
    </w:p>
    <w:p w14:paraId="596F3019" w14:textId="61DD6747" w:rsidR="00A81EA2" w:rsidRDefault="0060596C" w:rsidP="00A81EA2">
      <w:pPr>
        <w:ind w:right="75"/>
        <w:jc w:val="both"/>
        <w:rPr>
          <w:rFonts w:eastAsia="SimSun" w:cs="SimSun"/>
        </w:rPr>
      </w:pPr>
      <w:r>
        <w:rPr>
          <w:rFonts w:eastAsia="SimSun" w:cs="SimSun"/>
          <w:b/>
          <w:bCs/>
        </w:rPr>
        <w:lastRenderedPageBreak/>
        <w:t xml:space="preserve">Rok za dostavu ponude je 11. ožujka 2022. godine </w:t>
      </w:r>
      <w:r w:rsidR="00A81EA2">
        <w:rPr>
          <w:rFonts w:eastAsia="SimSun" w:cs="SimSun"/>
          <w:b/>
          <w:bCs/>
        </w:rPr>
        <w:t xml:space="preserve">do 12:00 sati </w:t>
      </w:r>
      <w:r>
        <w:rPr>
          <w:rFonts w:cs="Times New Roman"/>
        </w:rPr>
        <w:t xml:space="preserve">bez obzira na način dostave. </w:t>
      </w:r>
    </w:p>
    <w:p w14:paraId="7FFC16C3" w14:textId="0625102B" w:rsidR="00633A3E" w:rsidRDefault="00A81EA2" w:rsidP="00A81EA2">
      <w:pPr>
        <w:spacing w:after="144"/>
        <w:ind w:right="323"/>
        <w:jc w:val="both"/>
        <w:rPr>
          <w:rFonts w:eastAsiaTheme="minorEastAsia" w:cstheme="minorEastAsia"/>
        </w:rPr>
      </w:pPr>
      <w:r>
        <w:rPr>
          <w:rFonts w:eastAsiaTheme="minorEastAsia" w:cstheme="minorEastAsia"/>
        </w:rPr>
        <w:t xml:space="preserve">Otvaranje ponuda </w:t>
      </w:r>
      <w:r>
        <w:rPr>
          <w:rFonts w:eastAsiaTheme="minorEastAsia" w:cstheme="minorEastAsia"/>
          <w:u w:val="single" w:color="000000"/>
        </w:rPr>
        <w:t>nije javno</w:t>
      </w:r>
      <w:r>
        <w:rPr>
          <w:rFonts w:eastAsiaTheme="minorEastAsia" w:cstheme="minorEastAsia"/>
        </w:rPr>
        <w:t xml:space="preserve">.  </w:t>
      </w:r>
    </w:p>
    <w:p w14:paraId="56E9F40C" w14:textId="29F5F90E" w:rsidR="00A81EA2" w:rsidRDefault="00A81EA2" w:rsidP="00A81EA2">
      <w:pPr>
        <w:spacing w:after="144"/>
        <w:ind w:right="323"/>
        <w:jc w:val="both"/>
        <w:rPr>
          <w:rFonts w:eastAsiaTheme="minorEastAsia" w:cstheme="minorEastAsia"/>
        </w:rPr>
      </w:pPr>
    </w:p>
    <w:p w14:paraId="5C6060BB" w14:textId="77777777" w:rsidR="00BF6F5A" w:rsidRPr="00A81EA2" w:rsidRDefault="00BF6F5A" w:rsidP="00A81EA2">
      <w:pPr>
        <w:spacing w:after="144"/>
        <w:ind w:right="323"/>
        <w:jc w:val="both"/>
        <w:rPr>
          <w:rFonts w:eastAsiaTheme="minorEastAsia" w:cstheme="minorEastAsia"/>
        </w:rPr>
      </w:pPr>
    </w:p>
    <w:p w14:paraId="5A40986C" w14:textId="4B6156F7" w:rsidR="00FC3969" w:rsidRDefault="00107CB3" w:rsidP="00633A3E">
      <w:pPr>
        <w:pStyle w:val="Odlomakpopisa"/>
        <w:numPr>
          <w:ilvl w:val="0"/>
          <w:numId w:val="2"/>
        </w:numPr>
        <w:jc w:val="both"/>
        <w:rPr>
          <w:b/>
          <w:bCs/>
        </w:rPr>
      </w:pPr>
      <w:r w:rsidRPr="00633A3E">
        <w:rPr>
          <w:b/>
          <w:bCs/>
        </w:rPr>
        <w:t xml:space="preserve">DONOŠENJE ODLUKE O ODABIRU </w:t>
      </w:r>
    </w:p>
    <w:p w14:paraId="705229CE" w14:textId="77777777" w:rsidR="00565959" w:rsidRPr="00633A3E" w:rsidRDefault="00565959" w:rsidP="00565959">
      <w:pPr>
        <w:pStyle w:val="Odlomakpopisa"/>
        <w:ind w:left="360"/>
        <w:jc w:val="both"/>
        <w:rPr>
          <w:b/>
          <w:bCs/>
        </w:rPr>
      </w:pPr>
    </w:p>
    <w:p w14:paraId="7B244A70" w14:textId="3C286385" w:rsidR="00FC3969" w:rsidRPr="00565959" w:rsidRDefault="00107CB3" w:rsidP="00565959">
      <w:pPr>
        <w:pStyle w:val="Odlomakpopisa"/>
        <w:numPr>
          <w:ilvl w:val="1"/>
          <w:numId w:val="2"/>
        </w:numPr>
        <w:jc w:val="both"/>
        <w:rPr>
          <w:b/>
          <w:bCs/>
          <w:lang w:val="en-US"/>
        </w:rPr>
      </w:pPr>
      <w:r w:rsidRPr="00565959">
        <w:rPr>
          <w:b/>
          <w:bCs/>
        </w:rPr>
        <w:t xml:space="preserve">Pregled i ocjena ponuda </w:t>
      </w:r>
    </w:p>
    <w:p w14:paraId="0DE56034" w14:textId="1B1AA924" w:rsidR="00FC3969" w:rsidRDefault="00107CB3">
      <w:pPr>
        <w:jc w:val="both"/>
      </w:pPr>
      <w:r>
        <w:t xml:space="preserve">Stručno povjerenstvo za nabavu u roku od tri (3) dana od isteka roka za dostavu ponuda pregledava i ocjenjuje sadržaj podnesenih ponuda u odnosu na uvjete iz Poziva na dostavu ponuda, te se o istome sastavlja Zapisnik. </w:t>
      </w:r>
    </w:p>
    <w:p w14:paraId="33A86230" w14:textId="77777777" w:rsidR="00FC3969" w:rsidRDefault="00107CB3" w:rsidP="00565959">
      <w:pPr>
        <w:numPr>
          <w:ilvl w:val="1"/>
          <w:numId w:val="2"/>
        </w:numPr>
        <w:jc w:val="both"/>
        <w:rPr>
          <w:b/>
          <w:bCs/>
        </w:rPr>
      </w:pPr>
      <w:r>
        <w:rPr>
          <w:b/>
          <w:bCs/>
        </w:rPr>
        <w:t xml:space="preserve">Obavijest o odabiru/poništenju postupka </w:t>
      </w:r>
    </w:p>
    <w:p w14:paraId="5DCBA739" w14:textId="77777777" w:rsidR="00FC3969" w:rsidRDefault="00107CB3">
      <w:pPr>
        <w:jc w:val="both"/>
      </w:pPr>
      <w:r>
        <w:t xml:space="preserve">Rok za donošenje obavijesti o odabiru najpovoljnije ponude iznosi 15 dana od dana isteka roka za dostavu ponude. </w:t>
      </w:r>
    </w:p>
    <w:p w14:paraId="68DB231A" w14:textId="77777777" w:rsidR="00FC3969" w:rsidRDefault="00107CB3">
      <w:pPr>
        <w:jc w:val="both"/>
      </w:pPr>
      <w:r>
        <w:t xml:space="preserve">Obavijest o odabiru najpovoljnije ponude s preslikom zapisnika o otvaranju, pregledu i ocjeni ponuda Naručitelj je obvezan bez odgode istovremeno dostaviti svakom Ponuditelju na dokaziv način (putem elektroničke pošte). </w:t>
      </w:r>
    </w:p>
    <w:p w14:paraId="39DE7DC7" w14:textId="77777777" w:rsidR="00FC3969" w:rsidRDefault="00107CB3">
      <w:pPr>
        <w:jc w:val="both"/>
      </w:pPr>
      <w:r>
        <w:t xml:space="preserve">Naručitelj će poništiti postupak nabave iz razloga propisanih člankom 298. Zakona o javnoj nabavi. </w:t>
      </w:r>
    </w:p>
    <w:p w14:paraId="278C1343" w14:textId="77777777" w:rsidR="00FC3969" w:rsidRDefault="00107CB3">
      <w:pPr>
        <w:jc w:val="both"/>
      </w:pPr>
      <w:r>
        <w:t xml:space="preserve">U slučaju poništenja postupka nabave, Naručitelj donosi Obavijest o poništenju postupka nabave u roku od 8 dana od isteka roka za dostavu ponuda. </w:t>
      </w:r>
    </w:p>
    <w:p w14:paraId="77E8E74D" w14:textId="68D793BB" w:rsidR="00FC3969" w:rsidRDefault="00107CB3">
      <w:pPr>
        <w:jc w:val="both"/>
      </w:pPr>
      <w:r>
        <w:t xml:space="preserve">Obavijest o poništenju postupka nabave Naručitelj je obvezan bez odgode istovremeno dostaviti svakom Ponuditelju na dokaziv način (putem e-maila). </w:t>
      </w:r>
    </w:p>
    <w:p w14:paraId="3CFE6032" w14:textId="77777777" w:rsidR="00FC3969" w:rsidRDefault="00107CB3" w:rsidP="00565959">
      <w:pPr>
        <w:numPr>
          <w:ilvl w:val="1"/>
          <w:numId w:val="2"/>
        </w:numPr>
        <w:jc w:val="both"/>
        <w:rPr>
          <w:b/>
          <w:bCs/>
        </w:rPr>
      </w:pPr>
      <w:r>
        <w:rPr>
          <w:b/>
          <w:bCs/>
        </w:rPr>
        <w:t xml:space="preserve">Sklapanje ugovora </w:t>
      </w:r>
    </w:p>
    <w:p w14:paraId="05BD354F" w14:textId="77777777" w:rsidR="00FC3969" w:rsidRDefault="00107CB3">
      <w:pPr>
        <w:jc w:val="both"/>
      </w:pPr>
      <w:r>
        <w:t xml:space="preserve">Naručitelj će, ukoliko je Obavijest o odabiru donesena, sa odabranim gospodarskim subjektom sklopiti Ugovor o nabavi najkasnije u roku od 30 dana od izvršene dostave Obavijesti. </w:t>
      </w:r>
    </w:p>
    <w:p w14:paraId="55965E98" w14:textId="314B5BFB" w:rsidR="00FC3969" w:rsidRDefault="00107CB3">
      <w:pPr>
        <w:jc w:val="both"/>
      </w:pPr>
      <w:r>
        <w:t xml:space="preserve">Ugovor mora biti sklopljen i izvršavati se u skladu s uvjetima iz poziva na dostavu ponude te odabrane ponude. </w:t>
      </w:r>
    </w:p>
    <w:p w14:paraId="54067D4F" w14:textId="77777777" w:rsidR="00776EC2" w:rsidRPr="00565959" w:rsidRDefault="00776EC2">
      <w:pPr>
        <w:jc w:val="both"/>
      </w:pPr>
    </w:p>
    <w:p w14:paraId="14EBAF05" w14:textId="678479A1" w:rsidR="00FC3969" w:rsidRPr="005C69FE" w:rsidRDefault="005C69FE">
      <w:pPr>
        <w:jc w:val="both"/>
      </w:pPr>
      <w:r>
        <w:rPr>
          <w:b/>
          <w:bCs/>
          <w:noProof/>
          <w:lang w:eastAsia="hr-HR"/>
        </w:rPr>
        <w:lastRenderedPageBreak/>
        <w:drawing>
          <wp:inline distT="0" distB="0" distL="0" distR="0" wp14:anchorId="5A555ECF" wp14:editId="78E3C995">
            <wp:extent cx="6323965" cy="8258175"/>
            <wp:effectExtent l="0" t="0" r="63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nImage0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47014" cy="8288274"/>
                    </a:xfrm>
                    <a:prstGeom prst="rect">
                      <a:avLst/>
                    </a:prstGeom>
                  </pic:spPr>
                </pic:pic>
              </a:graphicData>
            </a:graphic>
          </wp:inline>
        </w:drawing>
      </w:r>
      <w:bookmarkStart w:id="6" w:name="_GoBack"/>
      <w:bookmarkEnd w:id="6"/>
    </w:p>
    <w:sectPr w:rsidR="00FC3969" w:rsidRPr="005C69FE">
      <w:headerReference w:type="default" r:id="rId17"/>
      <w:footerReference w:type="defaul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3084" w14:textId="77777777" w:rsidR="00AC3E84" w:rsidRDefault="00AC3E84">
      <w:pPr>
        <w:spacing w:line="240" w:lineRule="auto"/>
      </w:pPr>
      <w:r>
        <w:separator/>
      </w:r>
    </w:p>
  </w:endnote>
  <w:endnote w:type="continuationSeparator" w:id="0">
    <w:p w14:paraId="45B36876" w14:textId="77777777" w:rsidR="00AC3E84" w:rsidRDefault="00AC3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35B3" w14:textId="09ADD874" w:rsidR="001222B2" w:rsidRDefault="001222B2" w:rsidP="001222B2">
    <w:pPr>
      <w:pStyle w:val="Podnoje"/>
      <w:jc w:val="center"/>
    </w:pPr>
    <w:r>
      <w:rPr>
        <w:rFonts w:cstheme="minorHAnsi"/>
        <w:noProof/>
        <w:sz w:val="21"/>
        <w:szCs w:val="21"/>
        <w:lang w:eastAsia="hr-HR"/>
      </w:rPr>
      <w:drawing>
        <wp:inline distT="0" distB="0" distL="0" distR="0" wp14:anchorId="6D559E06" wp14:editId="089C3BC0">
          <wp:extent cx="3389630" cy="843915"/>
          <wp:effectExtent l="0" t="0" r="0" b="0"/>
          <wp:docPr id="6" name="Picture 1"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computer&#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l="1" t="32682" r="826" b="32418"/>
                  <a:stretch>
                    <a:fillRect/>
                  </a:stretch>
                </pic:blipFill>
                <pic:spPr>
                  <a:xfrm>
                    <a:off x="0" y="0"/>
                    <a:ext cx="3537027" cy="880704"/>
                  </a:xfrm>
                  <a:prstGeom prst="rect">
                    <a:avLst/>
                  </a:prstGeom>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5AB7" w14:textId="77777777" w:rsidR="00AC3E84" w:rsidRDefault="00AC3E84">
      <w:pPr>
        <w:spacing w:after="0" w:line="240" w:lineRule="auto"/>
      </w:pPr>
      <w:r>
        <w:separator/>
      </w:r>
    </w:p>
  </w:footnote>
  <w:footnote w:type="continuationSeparator" w:id="0">
    <w:p w14:paraId="4BB600A7" w14:textId="77777777" w:rsidR="00AC3E84" w:rsidRDefault="00AC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2FBC" w14:textId="11A14207" w:rsidR="00A961E1" w:rsidRDefault="00A961E1" w:rsidP="00A961E1">
    <w:pPr>
      <w:pStyle w:val="Zaglavlje"/>
    </w:pPr>
    <w:r>
      <w:rPr>
        <w:noProof/>
        <w:lang w:eastAsia="hr-HR"/>
      </w:rPr>
      <w:drawing>
        <wp:inline distT="0" distB="0" distL="0" distR="0" wp14:anchorId="552870A6" wp14:editId="0B767D07">
          <wp:extent cx="1530985" cy="495300"/>
          <wp:effectExtent l="0" t="0" r="1206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5400" cy="499860"/>
                  </a:xfrm>
                  <a:prstGeom prst="rect">
                    <a:avLst/>
                  </a:prstGeom>
                  <a:noFill/>
                </pic:spPr>
              </pic:pic>
            </a:graphicData>
          </a:graphic>
        </wp:inline>
      </w:drawing>
    </w:r>
    <w:r>
      <w:rPr>
        <w:lang w:eastAsia="hr-HR"/>
      </w:rPr>
      <w:t xml:space="preserve">              </w:t>
    </w:r>
    <w:r w:rsidR="00C15DD2">
      <w:rPr>
        <w:lang w:eastAsia="hr-HR"/>
      </w:rPr>
      <w:t xml:space="preserve">   </w:t>
    </w:r>
    <w:r>
      <w:rPr>
        <w:lang w:eastAsia="hr-HR"/>
      </w:rPr>
      <w:t xml:space="preserve"> </w:t>
    </w:r>
    <w:r>
      <w:rPr>
        <w:noProof/>
        <w:lang w:eastAsia="hr-HR"/>
      </w:rPr>
      <w:drawing>
        <wp:inline distT="0" distB="0" distL="114300" distR="114300" wp14:anchorId="067B52CD" wp14:editId="442436FF">
          <wp:extent cx="419735" cy="575945"/>
          <wp:effectExtent l="0" t="0" r="0" b="0"/>
          <wp:docPr id="5" name="Picture 1" descr="LOGO_rastimo sigur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_rastimo sigurnije"/>
                  <pic:cNvPicPr>
                    <a:picLocks noChangeAspect="1"/>
                  </pic:cNvPicPr>
                </pic:nvPicPr>
                <pic:blipFill>
                  <a:blip r:embed="rId2"/>
                  <a:stretch>
                    <a:fillRect/>
                  </a:stretch>
                </pic:blipFill>
                <pic:spPr>
                  <a:xfrm>
                    <a:off x="0" y="0"/>
                    <a:ext cx="425650" cy="584366"/>
                  </a:xfrm>
                  <a:prstGeom prst="rect">
                    <a:avLst/>
                  </a:prstGeom>
                </pic:spPr>
              </pic:pic>
            </a:graphicData>
          </a:graphic>
        </wp:inline>
      </w:drawing>
    </w:r>
    <w:r>
      <w:rPr>
        <w:lang w:eastAsia="hr-HR"/>
      </w:rPr>
      <w:t xml:space="preserve">        </w:t>
    </w:r>
    <w:r w:rsidR="00C15DD2">
      <w:rPr>
        <w:lang w:eastAsia="hr-HR"/>
      </w:rPr>
      <w:t xml:space="preserve">         </w:t>
    </w:r>
    <w:r>
      <w:rPr>
        <w:lang w:eastAsia="hr-HR"/>
      </w:rPr>
      <w:t xml:space="preserve">  </w:t>
    </w:r>
    <w:r>
      <w:rPr>
        <w:noProof/>
        <w:lang w:eastAsia="hr-HR"/>
      </w:rPr>
      <w:drawing>
        <wp:inline distT="0" distB="0" distL="0" distR="0" wp14:anchorId="2C23185A" wp14:editId="5969F67B">
          <wp:extent cx="707390" cy="467995"/>
          <wp:effectExtent l="0" t="0" r="1651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07390" cy="467995"/>
                  </a:xfrm>
                  <a:prstGeom prst="rect">
                    <a:avLst/>
                  </a:prstGeom>
                  <a:noFill/>
                </pic:spPr>
              </pic:pic>
            </a:graphicData>
          </a:graphic>
        </wp:inline>
      </w:drawing>
    </w:r>
    <w:r>
      <w:rPr>
        <w:lang w:eastAsia="hr-HR"/>
      </w:rPr>
      <w:t xml:space="preserve">                                                                            </w:t>
    </w:r>
  </w:p>
  <w:p w14:paraId="57031790" w14:textId="77777777" w:rsidR="00A961E1" w:rsidRDefault="00A961E1" w:rsidP="00A961E1">
    <w:pPr>
      <w:pStyle w:val="Zaglavlje"/>
      <w:spacing w:after="0" w:line="240" w:lineRule="auto"/>
      <w:rPr>
        <w:rFonts w:asciiTheme="majorHAnsi" w:hAnsiTheme="majorHAnsi" w:cstheme="majorHAnsi"/>
      </w:rPr>
    </w:pPr>
    <w:r>
      <w:rPr>
        <w:rFonts w:asciiTheme="majorHAnsi" w:hAnsiTheme="majorHAnsi" w:cstheme="majorHAnsi"/>
      </w:rPr>
      <w:t xml:space="preserve">Naziv projekta: Rana podrška i rehabilitacija djeci s </w:t>
    </w:r>
  </w:p>
  <w:p w14:paraId="2CABC81B" w14:textId="77777777" w:rsidR="00A961E1" w:rsidRDefault="00A961E1" w:rsidP="00A961E1">
    <w:pPr>
      <w:pStyle w:val="Zaglavlje"/>
      <w:spacing w:after="0" w:line="240" w:lineRule="auto"/>
    </w:pPr>
    <w:r>
      <w:rPr>
        <w:rFonts w:asciiTheme="majorHAnsi" w:hAnsiTheme="majorHAnsi" w:cstheme="majorHAnsi"/>
      </w:rPr>
      <w:t>razvojnim rizicima i teškoćama u razvoju - Zajedno rastimo sigurnije                                                                                    Šifra projekta: UP.02.2.2.15.0078</w:t>
    </w:r>
    <w:r>
      <w:ptab w:relativeTo="margin" w:alignment="center" w:leader="none"/>
    </w:r>
    <w:r>
      <w:ptab w:relativeTo="margin" w:alignment="right" w:leader="none"/>
    </w:r>
  </w:p>
  <w:p w14:paraId="72BE12E0" w14:textId="77777777" w:rsidR="00A961E1" w:rsidRDefault="00A961E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7D5722"/>
    <w:multiLevelType w:val="singleLevel"/>
    <w:tmpl w:val="8B7D5722"/>
    <w:lvl w:ilvl="0">
      <w:start w:val="1"/>
      <w:numFmt w:val="decimal"/>
      <w:lvlText w:val="%1."/>
      <w:lvlJc w:val="left"/>
    </w:lvl>
  </w:abstractNum>
  <w:abstractNum w:abstractNumId="1" w15:restartNumberingAfterBreak="0">
    <w:nsid w:val="00000004"/>
    <w:multiLevelType w:val="multilevel"/>
    <w:tmpl w:val="00000004"/>
    <w:lvl w:ilvl="0">
      <w:start w:val="1"/>
      <w:numFmt w:val="decimal"/>
      <w:lvlText w:val="%1."/>
      <w:lvlJc w:val="left"/>
      <w:pPr>
        <w:tabs>
          <w:tab w:val="left" w:pos="0"/>
        </w:tabs>
        <w:ind w:left="360" w:hanging="360"/>
      </w:pPr>
      <w:rPr>
        <w:rFonts w:ascii="Calibri" w:eastAsia="Calibri" w:hAnsi="Calibri" w:cs="Times New Roman" w:hint="default"/>
        <w:b/>
        <w:bCs/>
        <w:sz w:val="22"/>
        <w:szCs w:val="22"/>
      </w:rPr>
    </w:lvl>
    <w:lvl w:ilvl="1">
      <w:start w:val="1"/>
      <w:numFmt w:val="lowerLetter"/>
      <w:lvlText w:val="%2."/>
      <w:lvlJc w:val="left"/>
      <w:pPr>
        <w:tabs>
          <w:tab w:val="left" w:pos="0"/>
        </w:tabs>
        <w:ind w:left="1080" w:hanging="360"/>
      </w:pPr>
    </w:lvl>
    <w:lvl w:ilvl="2">
      <w:start w:val="1"/>
      <w:numFmt w:val="lowerRoman"/>
      <w:lvlText w:val="%2.%3."/>
      <w:lvlJc w:val="right"/>
      <w:pPr>
        <w:tabs>
          <w:tab w:val="left" w:pos="0"/>
        </w:tabs>
        <w:ind w:left="1800" w:hanging="180"/>
      </w:pPr>
    </w:lvl>
    <w:lvl w:ilvl="3">
      <w:start w:val="1"/>
      <w:numFmt w:val="decimal"/>
      <w:lvlText w:val="%2.%3.%4."/>
      <w:lvlJc w:val="left"/>
      <w:pPr>
        <w:tabs>
          <w:tab w:val="left" w:pos="0"/>
        </w:tabs>
        <w:ind w:left="2520" w:hanging="360"/>
      </w:pPr>
    </w:lvl>
    <w:lvl w:ilvl="4">
      <w:start w:val="1"/>
      <w:numFmt w:val="lowerLetter"/>
      <w:lvlText w:val="%2.%3.%4.%5."/>
      <w:lvlJc w:val="left"/>
      <w:pPr>
        <w:tabs>
          <w:tab w:val="left" w:pos="0"/>
        </w:tabs>
        <w:ind w:left="3240" w:hanging="360"/>
      </w:pPr>
    </w:lvl>
    <w:lvl w:ilvl="5">
      <w:start w:val="1"/>
      <w:numFmt w:val="lowerRoman"/>
      <w:lvlText w:val="%2.%3.%4.%5.%6."/>
      <w:lvlJc w:val="right"/>
      <w:pPr>
        <w:tabs>
          <w:tab w:val="left" w:pos="0"/>
        </w:tabs>
        <w:ind w:left="3960" w:hanging="180"/>
      </w:pPr>
    </w:lvl>
    <w:lvl w:ilvl="6">
      <w:start w:val="1"/>
      <w:numFmt w:val="decimal"/>
      <w:lvlText w:val="%2.%3.%4.%5.%6.%7."/>
      <w:lvlJc w:val="left"/>
      <w:pPr>
        <w:tabs>
          <w:tab w:val="left" w:pos="0"/>
        </w:tabs>
        <w:ind w:left="4680" w:hanging="360"/>
      </w:pPr>
    </w:lvl>
    <w:lvl w:ilvl="7">
      <w:start w:val="1"/>
      <w:numFmt w:val="lowerLetter"/>
      <w:lvlText w:val="%2.%3.%4.%5.%6.%7.%8."/>
      <w:lvlJc w:val="left"/>
      <w:pPr>
        <w:tabs>
          <w:tab w:val="left" w:pos="0"/>
        </w:tabs>
        <w:ind w:left="5400" w:hanging="360"/>
      </w:pPr>
    </w:lvl>
    <w:lvl w:ilvl="8">
      <w:start w:val="1"/>
      <w:numFmt w:val="lowerRoman"/>
      <w:lvlText w:val="%2.%3.%4.%5.%6.%7.%8.%9."/>
      <w:lvlJc w:val="right"/>
      <w:pPr>
        <w:tabs>
          <w:tab w:val="left" w:pos="0"/>
        </w:tabs>
        <w:ind w:left="6120" w:hanging="180"/>
      </w:pPr>
    </w:lvl>
  </w:abstractNum>
  <w:abstractNum w:abstractNumId="2" w15:restartNumberingAfterBreak="0">
    <w:nsid w:val="00000005"/>
    <w:multiLevelType w:val="multilevel"/>
    <w:tmpl w:val="00000005"/>
    <w:lvl w:ilvl="0">
      <w:start w:val="1"/>
      <w:numFmt w:val="lowerLetter"/>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2.%3."/>
      <w:lvlJc w:val="right"/>
      <w:pPr>
        <w:tabs>
          <w:tab w:val="left" w:pos="0"/>
        </w:tabs>
        <w:ind w:left="1800" w:hanging="180"/>
      </w:pPr>
    </w:lvl>
    <w:lvl w:ilvl="3">
      <w:start w:val="1"/>
      <w:numFmt w:val="decimal"/>
      <w:lvlText w:val="%2.%3.%4."/>
      <w:lvlJc w:val="left"/>
      <w:pPr>
        <w:tabs>
          <w:tab w:val="left" w:pos="0"/>
        </w:tabs>
        <w:ind w:left="2520" w:hanging="360"/>
      </w:pPr>
    </w:lvl>
    <w:lvl w:ilvl="4">
      <w:start w:val="1"/>
      <w:numFmt w:val="lowerLetter"/>
      <w:lvlText w:val="%2.%3.%4.%5."/>
      <w:lvlJc w:val="left"/>
      <w:pPr>
        <w:tabs>
          <w:tab w:val="left" w:pos="0"/>
        </w:tabs>
        <w:ind w:left="3240" w:hanging="360"/>
      </w:pPr>
    </w:lvl>
    <w:lvl w:ilvl="5">
      <w:start w:val="1"/>
      <w:numFmt w:val="lowerRoman"/>
      <w:lvlText w:val="%2.%3.%4.%5.%6."/>
      <w:lvlJc w:val="right"/>
      <w:pPr>
        <w:tabs>
          <w:tab w:val="left" w:pos="0"/>
        </w:tabs>
        <w:ind w:left="3960" w:hanging="180"/>
      </w:pPr>
    </w:lvl>
    <w:lvl w:ilvl="6">
      <w:start w:val="1"/>
      <w:numFmt w:val="decimal"/>
      <w:lvlText w:val="%2.%3.%4.%5.%6.%7."/>
      <w:lvlJc w:val="left"/>
      <w:pPr>
        <w:tabs>
          <w:tab w:val="left" w:pos="0"/>
        </w:tabs>
        <w:ind w:left="4680" w:hanging="360"/>
      </w:pPr>
    </w:lvl>
    <w:lvl w:ilvl="7">
      <w:start w:val="1"/>
      <w:numFmt w:val="lowerLetter"/>
      <w:lvlText w:val="%2.%3.%4.%5.%6.%7.%8."/>
      <w:lvlJc w:val="left"/>
      <w:pPr>
        <w:tabs>
          <w:tab w:val="left" w:pos="0"/>
        </w:tabs>
        <w:ind w:left="5400" w:hanging="360"/>
      </w:pPr>
    </w:lvl>
    <w:lvl w:ilvl="8">
      <w:start w:val="1"/>
      <w:numFmt w:val="lowerRoman"/>
      <w:lvlText w:val="%2.%3.%4.%5.%6.%7.%8.%9."/>
      <w:lvlJc w:val="right"/>
      <w:pPr>
        <w:tabs>
          <w:tab w:val="left" w:pos="0"/>
        </w:tabs>
        <w:ind w:left="6120" w:hanging="180"/>
      </w:pPr>
    </w:lvl>
  </w:abstractNum>
  <w:abstractNum w:abstractNumId="3" w15:restartNumberingAfterBreak="0">
    <w:nsid w:val="00000006"/>
    <w:multiLevelType w:val="multilevel"/>
    <w:tmpl w:val="00000006"/>
    <w:lvl w:ilvl="0">
      <w:start w:val="1"/>
      <w:numFmt w:val="bullet"/>
      <w:lvlText w:val="-"/>
      <w:lvlJc w:val="left"/>
      <w:pPr>
        <w:tabs>
          <w:tab w:val="left" w:pos="0"/>
        </w:tabs>
        <w:ind w:left="360" w:hanging="360"/>
      </w:pPr>
      <w:rPr>
        <w:rFonts w:ascii="Arial" w:hAnsi="Arial" w:cs="Arial"/>
      </w:rPr>
    </w:lvl>
    <w:lvl w:ilvl="1">
      <w:start w:val="1"/>
      <w:numFmt w:val="bullet"/>
      <w:lvlText w:val="o"/>
      <w:lvlJc w:val="left"/>
      <w:pPr>
        <w:tabs>
          <w:tab w:val="left" w:pos="0"/>
        </w:tabs>
        <w:ind w:left="1080" w:hanging="360"/>
      </w:pPr>
      <w:rPr>
        <w:rFonts w:ascii="Courier New" w:hAnsi="Courier New" w:cs="Courier New"/>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Courier New"/>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Courier New"/>
      </w:rPr>
    </w:lvl>
    <w:lvl w:ilvl="8">
      <w:start w:val="1"/>
      <w:numFmt w:val="bullet"/>
      <w:lvlText w:val=""/>
      <w:lvlJc w:val="left"/>
      <w:pPr>
        <w:tabs>
          <w:tab w:val="left" w:pos="0"/>
        </w:tabs>
        <w:ind w:left="6120" w:hanging="360"/>
      </w:pPr>
      <w:rPr>
        <w:rFonts w:ascii="Wingdings" w:hAnsi="Wingdings"/>
      </w:rPr>
    </w:lvl>
  </w:abstractNum>
  <w:abstractNum w:abstractNumId="4" w15:restartNumberingAfterBreak="0">
    <w:nsid w:val="03CC5696"/>
    <w:multiLevelType w:val="hybridMultilevel"/>
    <w:tmpl w:val="69601AE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BA0A560"/>
    <w:multiLevelType w:val="singleLevel"/>
    <w:tmpl w:val="0BA0A560"/>
    <w:lvl w:ilvl="0">
      <w:start w:val="5"/>
      <w:numFmt w:val="upperLetter"/>
      <w:suff w:val="nothing"/>
      <w:lvlText w:val="%1-"/>
      <w:lvlJc w:val="left"/>
    </w:lvl>
  </w:abstractNum>
  <w:abstractNum w:abstractNumId="6" w15:restartNumberingAfterBreak="0">
    <w:nsid w:val="0CF71C61"/>
    <w:multiLevelType w:val="hybridMultilevel"/>
    <w:tmpl w:val="D5DCE2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153B48"/>
    <w:multiLevelType w:val="hybridMultilevel"/>
    <w:tmpl w:val="C4AEDB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259EA"/>
    <w:multiLevelType w:val="hybridMultilevel"/>
    <w:tmpl w:val="3D045398"/>
    <w:lvl w:ilvl="0" w:tplc="6C3223C8">
      <w:start w:val="8"/>
      <w:numFmt w:val="decimal"/>
      <w:lvlText w:val="%1."/>
      <w:lvlJc w:val="left"/>
      <w:pPr>
        <w:ind w:left="720" w:hanging="360"/>
      </w:pPr>
      <w:rPr>
        <w:rFonts w:eastAsia="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2408D"/>
    <w:multiLevelType w:val="hybridMultilevel"/>
    <w:tmpl w:val="0D3AB4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674648"/>
    <w:multiLevelType w:val="multilevel"/>
    <w:tmpl w:val="19674648"/>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D603036"/>
    <w:multiLevelType w:val="hybridMultilevel"/>
    <w:tmpl w:val="D5D85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05604"/>
    <w:multiLevelType w:val="hybridMultilevel"/>
    <w:tmpl w:val="641C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4338A"/>
    <w:multiLevelType w:val="multilevel"/>
    <w:tmpl w:val="2644338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DB121BE"/>
    <w:multiLevelType w:val="hybridMultilevel"/>
    <w:tmpl w:val="318043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3B2D71"/>
    <w:multiLevelType w:val="hybridMultilevel"/>
    <w:tmpl w:val="369E96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886CD4"/>
    <w:multiLevelType w:val="hybridMultilevel"/>
    <w:tmpl w:val="9C18B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022CC"/>
    <w:multiLevelType w:val="hybridMultilevel"/>
    <w:tmpl w:val="FAAAFA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FC5B7D"/>
    <w:multiLevelType w:val="hybridMultilevel"/>
    <w:tmpl w:val="7228CE2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5806DD"/>
    <w:multiLevelType w:val="hybridMultilevel"/>
    <w:tmpl w:val="F564BE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BF3ADD"/>
    <w:multiLevelType w:val="hybridMultilevel"/>
    <w:tmpl w:val="4594B4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start w:val="1"/>
      <w:numFmt w:val="bullet"/>
      <w:lvlText w:val=""/>
      <w:lvlJc w:val="left"/>
      <w:pPr>
        <w:ind w:left="2454" w:hanging="360"/>
      </w:pPr>
      <w:rPr>
        <w:rFonts w:ascii="Symbol" w:hAnsi="Symbol" w:hint="default"/>
      </w:rPr>
    </w:lvl>
    <w:lvl w:ilvl="4" w:tplc="041A0003">
      <w:start w:val="1"/>
      <w:numFmt w:val="bullet"/>
      <w:lvlText w:val="o"/>
      <w:lvlJc w:val="left"/>
      <w:pPr>
        <w:ind w:left="3174" w:hanging="360"/>
      </w:pPr>
      <w:rPr>
        <w:rFonts w:ascii="Courier New" w:hAnsi="Courier New" w:cs="Courier New" w:hint="default"/>
      </w:rPr>
    </w:lvl>
    <w:lvl w:ilvl="5" w:tplc="041A0005">
      <w:start w:val="1"/>
      <w:numFmt w:val="bullet"/>
      <w:lvlText w:val=""/>
      <w:lvlJc w:val="left"/>
      <w:pPr>
        <w:ind w:left="3894" w:hanging="360"/>
      </w:pPr>
      <w:rPr>
        <w:rFonts w:ascii="Wingdings" w:hAnsi="Wingdings" w:hint="default"/>
      </w:rPr>
    </w:lvl>
    <w:lvl w:ilvl="6" w:tplc="041A0001">
      <w:start w:val="1"/>
      <w:numFmt w:val="bullet"/>
      <w:lvlText w:val=""/>
      <w:lvlJc w:val="left"/>
      <w:pPr>
        <w:ind w:left="4614" w:hanging="360"/>
      </w:pPr>
      <w:rPr>
        <w:rFonts w:ascii="Symbol" w:hAnsi="Symbol" w:hint="default"/>
      </w:rPr>
    </w:lvl>
    <w:lvl w:ilvl="7" w:tplc="041A0003">
      <w:start w:val="1"/>
      <w:numFmt w:val="bullet"/>
      <w:lvlText w:val="o"/>
      <w:lvlJc w:val="left"/>
      <w:pPr>
        <w:ind w:left="5334" w:hanging="360"/>
      </w:pPr>
      <w:rPr>
        <w:rFonts w:ascii="Courier New" w:hAnsi="Courier New" w:cs="Courier New" w:hint="default"/>
      </w:rPr>
    </w:lvl>
    <w:lvl w:ilvl="8" w:tplc="041A0005">
      <w:start w:val="1"/>
      <w:numFmt w:val="bullet"/>
      <w:lvlText w:val=""/>
      <w:lvlJc w:val="left"/>
      <w:pPr>
        <w:ind w:left="6054" w:hanging="360"/>
      </w:pPr>
      <w:rPr>
        <w:rFonts w:ascii="Wingdings" w:hAnsi="Wingdings" w:hint="default"/>
      </w:rPr>
    </w:lvl>
  </w:abstractNum>
  <w:abstractNum w:abstractNumId="22" w15:restartNumberingAfterBreak="0">
    <w:nsid w:val="6C182037"/>
    <w:multiLevelType w:val="hybridMultilevel"/>
    <w:tmpl w:val="7A9C1A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3"/>
  </w:num>
  <w:num w:numId="6">
    <w:abstractNumId w:val="0"/>
  </w:num>
  <w:num w:numId="7">
    <w:abstractNumId w:val="13"/>
  </w:num>
  <w:num w:numId="8">
    <w:abstractNumId w:val="18"/>
  </w:num>
  <w:num w:numId="9">
    <w:abstractNumId w:val="17"/>
  </w:num>
  <w:num w:numId="10">
    <w:abstractNumId w:val="14"/>
  </w:num>
  <w:num w:numId="11">
    <w:abstractNumId w:val="20"/>
  </w:num>
  <w:num w:numId="12">
    <w:abstractNumId w:val="15"/>
  </w:num>
  <w:num w:numId="13">
    <w:abstractNumId w:val="6"/>
  </w:num>
  <w:num w:numId="14">
    <w:abstractNumId w:val="9"/>
  </w:num>
  <w:num w:numId="15">
    <w:abstractNumId w:val="7"/>
  </w:num>
  <w:num w:numId="16">
    <w:abstractNumId w:val="19"/>
  </w:num>
  <w:num w:numId="17">
    <w:abstractNumId w:val="22"/>
  </w:num>
  <w:num w:numId="18">
    <w:abstractNumId w:val="4"/>
  </w:num>
  <w:num w:numId="19">
    <w:abstractNumId w:val="11"/>
  </w:num>
  <w:num w:numId="20">
    <w:abstractNumId w:val="12"/>
  </w:num>
  <w:num w:numId="21">
    <w:abstractNumId w:val="16"/>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DD"/>
    <w:rsid w:val="00000B33"/>
    <w:rsid w:val="00001A37"/>
    <w:rsid w:val="000224DD"/>
    <w:rsid w:val="00035DF4"/>
    <w:rsid w:val="00043EC3"/>
    <w:rsid w:val="0005141D"/>
    <w:rsid w:val="000625E6"/>
    <w:rsid w:val="000663AE"/>
    <w:rsid w:val="0007213B"/>
    <w:rsid w:val="00077F93"/>
    <w:rsid w:val="00083144"/>
    <w:rsid w:val="00090AC8"/>
    <w:rsid w:val="00096B28"/>
    <w:rsid w:val="000B0AA4"/>
    <w:rsid w:val="000B6C89"/>
    <w:rsid w:val="000C504F"/>
    <w:rsid w:val="000D17DE"/>
    <w:rsid w:val="000D58AB"/>
    <w:rsid w:val="000E1FF2"/>
    <w:rsid w:val="000E6AAA"/>
    <w:rsid w:val="00102F5C"/>
    <w:rsid w:val="001045BF"/>
    <w:rsid w:val="00107CB3"/>
    <w:rsid w:val="0011043A"/>
    <w:rsid w:val="001222B2"/>
    <w:rsid w:val="00141FD5"/>
    <w:rsid w:val="001536BA"/>
    <w:rsid w:val="00155A19"/>
    <w:rsid w:val="0019510C"/>
    <w:rsid w:val="001A580B"/>
    <w:rsid w:val="001D43E2"/>
    <w:rsid w:val="001E54D2"/>
    <w:rsid w:val="00216630"/>
    <w:rsid w:val="00224494"/>
    <w:rsid w:val="00241522"/>
    <w:rsid w:val="0024277B"/>
    <w:rsid w:val="00264C7F"/>
    <w:rsid w:val="0026639D"/>
    <w:rsid w:val="00296196"/>
    <w:rsid w:val="002B47AD"/>
    <w:rsid w:val="002F3638"/>
    <w:rsid w:val="002F422D"/>
    <w:rsid w:val="002F6278"/>
    <w:rsid w:val="00314A0C"/>
    <w:rsid w:val="00316AE8"/>
    <w:rsid w:val="00320F1F"/>
    <w:rsid w:val="003231F0"/>
    <w:rsid w:val="00327D99"/>
    <w:rsid w:val="003343B9"/>
    <w:rsid w:val="003507C8"/>
    <w:rsid w:val="00354003"/>
    <w:rsid w:val="00355993"/>
    <w:rsid w:val="00357821"/>
    <w:rsid w:val="00360A18"/>
    <w:rsid w:val="0036409F"/>
    <w:rsid w:val="00366B74"/>
    <w:rsid w:val="003833C2"/>
    <w:rsid w:val="00392FC1"/>
    <w:rsid w:val="003A1F74"/>
    <w:rsid w:val="003B3104"/>
    <w:rsid w:val="003C1474"/>
    <w:rsid w:val="003C5042"/>
    <w:rsid w:val="003D5080"/>
    <w:rsid w:val="003F088C"/>
    <w:rsid w:val="0042064E"/>
    <w:rsid w:val="004259C4"/>
    <w:rsid w:val="00425CF4"/>
    <w:rsid w:val="004314B6"/>
    <w:rsid w:val="0044506C"/>
    <w:rsid w:val="0044768E"/>
    <w:rsid w:val="00447F66"/>
    <w:rsid w:val="00460C1C"/>
    <w:rsid w:val="00493BC5"/>
    <w:rsid w:val="0049586C"/>
    <w:rsid w:val="00497176"/>
    <w:rsid w:val="00497B41"/>
    <w:rsid w:val="004B2219"/>
    <w:rsid w:val="004C02A2"/>
    <w:rsid w:val="004D55AA"/>
    <w:rsid w:val="004E286C"/>
    <w:rsid w:val="004E4F15"/>
    <w:rsid w:val="004F2324"/>
    <w:rsid w:val="005258DC"/>
    <w:rsid w:val="005277DF"/>
    <w:rsid w:val="00533431"/>
    <w:rsid w:val="005376C8"/>
    <w:rsid w:val="00541518"/>
    <w:rsid w:val="005429A5"/>
    <w:rsid w:val="005463F8"/>
    <w:rsid w:val="00546B06"/>
    <w:rsid w:val="005471C0"/>
    <w:rsid w:val="00550587"/>
    <w:rsid w:val="00565959"/>
    <w:rsid w:val="00571B1C"/>
    <w:rsid w:val="00574B04"/>
    <w:rsid w:val="00583D7C"/>
    <w:rsid w:val="00587475"/>
    <w:rsid w:val="00590A59"/>
    <w:rsid w:val="005A31CD"/>
    <w:rsid w:val="005A605F"/>
    <w:rsid w:val="005B45ED"/>
    <w:rsid w:val="005B4641"/>
    <w:rsid w:val="005C69FE"/>
    <w:rsid w:val="005D509B"/>
    <w:rsid w:val="0060596C"/>
    <w:rsid w:val="00622EB3"/>
    <w:rsid w:val="00627A58"/>
    <w:rsid w:val="00633A3E"/>
    <w:rsid w:val="006362FC"/>
    <w:rsid w:val="00636F5E"/>
    <w:rsid w:val="00652A35"/>
    <w:rsid w:val="00663396"/>
    <w:rsid w:val="00665898"/>
    <w:rsid w:val="00682C31"/>
    <w:rsid w:val="00685BF4"/>
    <w:rsid w:val="00690883"/>
    <w:rsid w:val="006908F0"/>
    <w:rsid w:val="00692553"/>
    <w:rsid w:val="006B1ECD"/>
    <w:rsid w:val="006C375D"/>
    <w:rsid w:val="006D399F"/>
    <w:rsid w:val="006D7489"/>
    <w:rsid w:val="006E04F6"/>
    <w:rsid w:val="006F1556"/>
    <w:rsid w:val="0071733E"/>
    <w:rsid w:val="00717D5B"/>
    <w:rsid w:val="00723B89"/>
    <w:rsid w:val="00723FC2"/>
    <w:rsid w:val="007250E9"/>
    <w:rsid w:val="007324AD"/>
    <w:rsid w:val="00744C4E"/>
    <w:rsid w:val="00747666"/>
    <w:rsid w:val="00753196"/>
    <w:rsid w:val="00762DB6"/>
    <w:rsid w:val="00776EC2"/>
    <w:rsid w:val="00785923"/>
    <w:rsid w:val="00785955"/>
    <w:rsid w:val="007926C6"/>
    <w:rsid w:val="00796C4F"/>
    <w:rsid w:val="007B008E"/>
    <w:rsid w:val="007C7100"/>
    <w:rsid w:val="007D1D5C"/>
    <w:rsid w:val="007E108A"/>
    <w:rsid w:val="0080165B"/>
    <w:rsid w:val="00821745"/>
    <w:rsid w:val="008333F1"/>
    <w:rsid w:val="008464FB"/>
    <w:rsid w:val="00847559"/>
    <w:rsid w:val="00854536"/>
    <w:rsid w:val="00891DFD"/>
    <w:rsid w:val="008B0122"/>
    <w:rsid w:val="008B2FF2"/>
    <w:rsid w:val="008B77E3"/>
    <w:rsid w:val="008C2F14"/>
    <w:rsid w:val="008D0FD7"/>
    <w:rsid w:val="008E2347"/>
    <w:rsid w:val="00902B7D"/>
    <w:rsid w:val="0092585D"/>
    <w:rsid w:val="00941250"/>
    <w:rsid w:val="009413AD"/>
    <w:rsid w:val="00955EEE"/>
    <w:rsid w:val="0098254E"/>
    <w:rsid w:val="009835A4"/>
    <w:rsid w:val="009918FA"/>
    <w:rsid w:val="009B4A78"/>
    <w:rsid w:val="009B7254"/>
    <w:rsid w:val="009C308E"/>
    <w:rsid w:val="009C57A8"/>
    <w:rsid w:val="009D696D"/>
    <w:rsid w:val="009E6C89"/>
    <w:rsid w:val="00A04830"/>
    <w:rsid w:val="00A20260"/>
    <w:rsid w:val="00A249E6"/>
    <w:rsid w:val="00A27F2E"/>
    <w:rsid w:val="00A67447"/>
    <w:rsid w:val="00A705F2"/>
    <w:rsid w:val="00A81EA2"/>
    <w:rsid w:val="00A90F49"/>
    <w:rsid w:val="00A961E1"/>
    <w:rsid w:val="00AA0526"/>
    <w:rsid w:val="00AC1831"/>
    <w:rsid w:val="00AC3E84"/>
    <w:rsid w:val="00AC4E8D"/>
    <w:rsid w:val="00AC53AD"/>
    <w:rsid w:val="00AC6C4C"/>
    <w:rsid w:val="00AC6CE9"/>
    <w:rsid w:val="00AD44D1"/>
    <w:rsid w:val="00AD5B5E"/>
    <w:rsid w:val="00AE1360"/>
    <w:rsid w:val="00AE3018"/>
    <w:rsid w:val="00AE4C9D"/>
    <w:rsid w:val="00AF2F20"/>
    <w:rsid w:val="00AF7133"/>
    <w:rsid w:val="00B103E7"/>
    <w:rsid w:val="00B105E2"/>
    <w:rsid w:val="00B14653"/>
    <w:rsid w:val="00B17CA8"/>
    <w:rsid w:val="00B226C1"/>
    <w:rsid w:val="00B27005"/>
    <w:rsid w:val="00B33197"/>
    <w:rsid w:val="00B40EA3"/>
    <w:rsid w:val="00B41419"/>
    <w:rsid w:val="00B444C6"/>
    <w:rsid w:val="00B446E7"/>
    <w:rsid w:val="00B6693F"/>
    <w:rsid w:val="00B72A98"/>
    <w:rsid w:val="00B8278C"/>
    <w:rsid w:val="00BC3C41"/>
    <w:rsid w:val="00BD2236"/>
    <w:rsid w:val="00BD3DB4"/>
    <w:rsid w:val="00BE318B"/>
    <w:rsid w:val="00BF6F5A"/>
    <w:rsid w:val="00C020C0"/>
    <w:rsid w:val="00C04C03"/>
    <w:rsid w:val="00C15DD2"/>
    <w:rsid w:val="00C15F2F"/>
    <w:rsid w:val="00C463F9"/>
    <w:rsid w:val="00C764EC"/>
    <w:rsid w:val="00C86DCD"/>
    <w:rsid w:val="00CB0A85"/>
    <w:rsid w:val="00CC49AC"/>
    <w:rsid w:val="00CE016C"/>
    <w:rsid w:val="00CF79FC"/>
    <w:rsid w:val="00D01FCC"/>
    <w:rsid w:val="00D02BB6"/>
    <w:rsid w:val="00D34C0D"/>
    <w:rsid w:val="00D42E8E"/>
    <w:rsid w:val="00D502BA"/>
    <w:rsid w:val="00D61882"/>
    <w:rsid w:val="00D621F8"/>
    <w:rsid w:val="00D65720"/>
    <w:rsid w:val="00D70BEE"/>
    <w:rsid w:val="00D9108F"/>
    <w:rsid w:val="00D92C5E"/>
    <w:rsid w:val="00D9504D"/>
    <w:rsid w:val="00D97773"/>
    <w:rsid w:val="00DA5613"/>
    <w:rsid w:val="00DA709C"/>
    <w:rsid w:val="00DB23C7"/>
    <w:rsid w:val="00DD2F31"/>
    <w:rsid w:val="00DE07D6"/>
    <w:rsid w:val="00DF41FF"/>
    <w:rsid w:val="00E0117E"/>
    <w:rsid w:val="00E04712"/>
    <w:rsid w:val="00E05FDF"/>
    <w:rsid w:val="00E14511"/>
    <w:rsid w:val="00E37C19"/>
    <w:rsid w:val="00E42D32"/>
    <w:rsid w:val="00E47341"/>
    <w:rsid w:val="00E50ECF"/>
    <w:rsid w:val="00E60869"/>
    <w:rsid w:val="00E60F17"/>
    <w:rsid w:val="00E66F9E"/>
    <w:rsid w:val="00E70A8D"/>
    <w:rsid w:val="00E747DB"/>
    <w:rsid w:val="00E833A6"/>
    <w:rsid w:val="00E84A21"/>
    <w:rsid w:val="00E95184"/>
    <w:rsid w:val="00E95E26"/>
    <w:rsid w:val="00EB255D"/>
    <w:rsid w:val="00EB500A"/>
    <w:rsid w:val="00EC5C1C"/>
    <w:rsid w:val="00EC6006"/>
    <w:rsid w:val="00EE7894"/>
    <w:rsid w:val="00EF3C37"/>
    <w:rsid w:val="00F00138"/>
    <w:rsid w:val="00F10737"/>
    <w:rsid w:val="00F10A1F"/>
    <w:rsid w:val="00F142A6"/>
    <w:rsid w:val="00F15134"/>
    <w:rsid w:val="00F155DB"/>
    <w:rsid w:val="00F16D35"/>
    <w:rsid w:val="00F25F77"/>
    <w:rsid w:val="00F33AC5"/>
    <w:rsid w:val="00F41494"/>
    <w:rsid w:val="00F63A3E"/>
    <w:rsid w:val="00F84D32"/>
    <w:rsid w:val="00F91BF5"/>
    <w:rsid w:val="00F95C6C"/>
    <w:rsid w:val="00FA14EC"/>
    <w:rsid w:val="00FA504A"/>
    <w:rsid w:val="00FA5B5B"/>
    <w:rsid w:val="00FC3969"/>
    <w:rsid w:val="00FD027F"/>
    <w:rsid w:val="00FE5861"/>
    <w:rsid w:val="00FE7168"/>
    <w:rsid w:val="0111799E"/>
    <w:rsid w:val="01DE5252"/>
    <w:rsid w:val="01EA31C7"/>
    <w:rsid w:val="025D7C05"/>
    <w:rsid w:val="026410C2"/>
    <w:rsid w:val="028C63B5"/>
    <w:rsid w:val="029D2D75"/>
    <w:rsid w:val="02A57D09"/>
    <w:rsid w:val="02D14AA6"/>
    <w:rsid w:val="02D93D75"/>
    <w:rsid w:val="030A5340"/>
    <w:rsid w:val="036A00B0"/>
    <w:rsid w:val="037B7D5E"/>
    <w:rsid w:val="04215639"/>
    <w:rsid w:val="04807DD8"/>
    <w:rsid w:val="049E65B5"/>
    <w:rsid w:val="04E92893"/>
    <w:rsid w:val="04FF796C"/>
    <w:rsid w:val="07356E9A"/>
    <w:rsid w:val="073C085D"/>
    <w:rsid w:val="07615B12"/>
    <w:rsid w:val="07C93F89"/>
    <w:rsid w:val="07E763EB"/>
    <w:rsid w:val="07E82733"/>
    <w:rsid w:val="07EB5B8F"/>
    <w:rsid w:val="08627509"/>
    <w:rsid w:val="0867725C"/>
    <w:rsid w:val="091464FB"/>
    <w:rsid w:val="097771B4"/>
    <w:rsid w:val="09CB5B2E"/>
    <w:rsid w:val="09D7516B"/>
    <w:rsid w:val="09E41A60"/>
    <w:rsid w:val="09FF7928"/>
    <w:rsid w:val="0A1D7655"/>
    <w:rsid w:val="0B6862C3"/>
    <w:rsid w:val="0BBC3744"/>
    <w:rsid w:val="0BBC747F"/>
    <w:rsid w:val="0BD21D7A"/>
    <w:rsid w:val="0C2A2837"/>
    <w:rsid w:val="0C8567B0"/>
    <w:rsid w:val="0C904BE5"/>
    <w:rsid w:val="0CB10CEC"/>
    <w:rsid w:val="0CDC2B5F"/>
    <w:rsid w:val="0D50380C"/>
    <w:rsid w:val="0DA44951"/>
    <w:rsid w:val="0E2B1F99"/>
    <w:rsid w:val="0E4B1EC7"/>
    <w:rsid w:val="0E8E4D9F"/>
    <w:rsid w:val="0E947176"/>
    <w:rsid w:val="0EF14CC2"/>
    <w:rsid w:val="0F804750"/>
    <w:rsid w:val="0F8D37F1"/>
    <w:rsid w:val="0FB9638A"/>
    <w:rsid w:val="107C3747"/>
    <w:rsid w:val="108A3753"/>
    <w:rsid w:val="10A64A66"/>
    <w:rsid w:val="115C4057"/>
    <w:rsid w:val="11AF1178"/>
    <w:rsid w:val="127837F2"/>
    <w:rsid w:val="12E96B7E"/>
    <w:rsid w:val="13572E23"/>
    <w:rsid w:val="137C1B5E"/>
    <w:rsid w:val="13F85051"/>
    <w:rsid w:val="144C0CB9"/>
    <w:rsid w:val="147D303B"/>
    <w:rsid w:val="148D2DC5"/>
    <w:rsid w:val="14F31714"/>
    <w:rsid w:val="14F33248"/>
    <w:rsid w:val="1543238E"/>
    <w:rsid w:val="15437EFC"/>
    <w:rsid w:val="16246355"/>
    <w:rsid w:val="163A3481"/>
    <w:rsid w:val="167551B1"/>
    <w:rsid w:val="17004147"/>
    <w:rsid w:val="17853E45"/>
    <w:rsid w:val="179A6ABB"/>
    <w:rsid w:val="17B23368"/>
    <w:rsid w:val="18335330"/>
    <w:rsid w:val="18683646"/>
    <w:rsid w:val="18842AF5"/>
    <w:rsid w:val="189E5BCA"/>
    <w:rsid w:val="18F5430B"/>
    <w:rsid w:val="19066C2A"/>
    <w:rsid w:val="192327D8"/>
    <w:rsid w:val="19AB7D89"/>
    <w:rsid w:val="19F370EF"/>
    <w:rsid w:val="1A903C94"/>
    <w:rsid w:val="1A961925"/>
    <w:rsid w:val="1AE64663"/>
    <w:rsid w:val="1B092B25"/>
    <w:rsid w:val="1B595BE3"/>
    <w:rsid w:val="1C051FEB"/>
    <w:rsid w:val="1C074416"/>
    <w:rsid w:val="1C424EE3"/>
    <w:rsid w:val="1CE71EE9"/>
    <w:rsid w:val="1CF7497C"/>
    <w:rsid w:val="1D1D695F"/>
    <w:rsid w:val="1D2D0049"/>
    <w:rsid w:val="1D8063C2"/>
    <w:rsid w:val="1D8473D2"/>
    <w:rsid w:val="1DBE5050"/>
    <w:rsid w:val="1E083DF2"/>
    <w:rsid w:val="1EAE53F5"/>
    <w:rsid w:val="1F0C5925"/>
    <w:rsid w:val="1F320DC7"/>
    <w:rsid w:val="1F3E3BD2"/>
    <w:rsid w:val="1FF457FE"/>
    <w:rsid w:val="203E7666"/>
    <w:rsid w:val="205121AB"/>
    <w:rsid w:val="209657EF"/>
    <w:rsid w:val="20993601"/>
    <w:rsid w:val="20A72E68"/>
    <w:rsid w:val="20AC71A9"/>
    <w:rsid w:val="20D46D40"/>
    <w:rsid w:val="211A3088"/>
    <w:rsid w:val="21241E6D"/>
    <w:rsid w:val="214326D5"/>
    <w:rsid w:val="216E39FB"/>
    <w:rsid w:val="217C6230"/>
    <w:rsid w:val="2186343A"/>
    <w:rsid w:val="21B73ABC"/>
    <w:rsid w:val="21DC070D"/>
    <w:rsid w:val="21DE28E0"/>
    <w:rsid w:val="21E47920"/>
    <w:rsid w:val="22A346C4"/>
    <w:rsid w:val="22CF50ED"/>
    <w:rsid w:val="22F860CC"/>
    <w:rsid w:val="23246A9D"/>
    <w:rsid w:val="232E4A39"/>
    <w:rsid w:val="23903B28"/>
    <w:rsid w:val="23934698"/>
    <w:rsid w:val="246C19B7"/>
    <w:rsid w:val="251872DF"/>
    <w:rsid w:val="25B152F6"/>
    <w:rsid w:val="25FC5ED6"/>
    <w:rsid w:val="26663D7F"/>
    <w:rsid w:val="26735520"/>
    <w:rsid w:val="273560D6"/>
    <w:rsid w:val="273B711C"/>
    <w:rsid w:val="27BF3A29"/>
    <w:rsid w:val="28791F14"/>
    <w:rsid w:val="28B50F93"/>
    <w:rsid w:val="28B80CDA"/>
    <w:rsid w:val="28F043CB"/>
    <w:rsid w:val="29185A3C"/>
    <w:rsid w:val="29427915"/>
    <w:rsid w:val="29C626A1"/>
    <w:rsid w:val="2A18421F"/>
    <w:rsid w:val="2AAF6399"/>
    <w:rsid w:val="2AD90DC1"/>
    <w:rsid w:val="2AF66B9E"/>
    <w:rsid w:val="2B545DD3"/>
    <w:rsid w:val="2B740393"/>
    <w:rsid w:val="2BA005E2"/>
    <w:rsid w:val="2BE5173F"/>
    <w:rsid w:val="2BE97074"/>
    <w:rsid w:val="2C580A44"/>
    <w:rsid w:val="2C5D1407"/>
    <w:rsid w:val="2CA30F13"/>
    <w:rsid w:val="2D104CC6"/>
    <w:rsid w:val="2D997750"/>
    <w:rsid w:val="2DB25A69"/>
    <w:rsid w:val="2DD35FF8"/>
    <w:rsid w:val="2DD96781"/>
    <w:rsid w:val="2E432C71"/>
    <w:rsid w:val="2E463654"/>
    <w:rsid w:val="2E532B1E"/>
    <w:rsid w:val="2E68656F"/>
    <w:rsid w:val="2FCE6C53"/>
    <w:rsid w:val="2FF079EB"/>
    <w:rsid w:val="2FFA3FAF"/>
    <w:rsid w:val="306D1193"/>
    <w:rsid w:val="30A07DC5"/>
    <w:rsid w:val="30A63A9D"/>
    <w:rsid w:val="30DF1383"/>
    <w:rsid w:val="316F2D20"/>
    <w:rsid w:val="317843B3"/>
    <w:rsid w:val="31DB7DF1"/>
    <w:rsid w:val="31E11F7B"/>
    <w:rsid w:val="32190BAA"/>
    <w:rsid w:val="329A1C09"/>
    <w:rsid w:val="32AA06AA"/>
    <w:rsid w:val="331961D4"/>
    <w:rsid w:val="331D4B58"/>
    <w:rsid w:val="334422BC"/>
    <w:rsid w:val="33616B87"/>
    <w:rsid w:val="33A07B24"/>
    <w:rsid w:val="33D06AA3"/>
    <w:rsid w:val="33DB7BEE"/>
    <w:rsid w:val="33F728D7"/>
    <w:rsid w:val="34137034"/>
    <w:rsid w:val="3430590C"/>
    <w:rsid w:val="343F2820"/>
    <w:rsid w:val="345C6131"/>
    <w:rsid w:val="34A12176"/>
    <w:rsid w:val="34D806F9"/>
    <w:rsid w:val="34D8467B"/>
    <w:rsid w:val="35833B0F"/>
    <w:rsid w:val="35B536E8"/>
    <w:rsid w:val="35DC0B18"/>
    <w:rsid w:val="369D2E48"/>
    <w:rsid w:val="36A63BC3"/>
    <w:rsid w:val="37087512"/>
    <w:rsid w:val="37225999"/>
    <w:rsid w:val="373D3EB8"/>
    <w:rsid w:val="375152D4"/>
    <w:rsid w:val="375E2C99"/>
    <w:rsid w:val="37617BAC"/>
    <w:rsid w:val="37BC58DF"/>
    <w:rsid w:val="37C77C4E"/>
    <w:rsid w:val="38057B45"/>
    <w:rsid w:val="385C2268"/>
    <w:rsid w:val="3885160E"/>
    <w:rsid w:val="39D73555"/>
    <w:rsid w:val="3A01453B"/>
    <w:rsid w:val="3A097DAB"/>
    <w:rsid w:val="3A111E6D"/>
    <w:rsid w:val="3A1C2813"/>
    <w:rsid w:val="3A8F3A85"/>
    <w:rsid w:val="3AA16F56"/>
    <w:rsid w:val="3AF552E4"/>
    <w:rsid w:val="3B2D0FA4"/>
    <w:rsid w:val="3B474AEC"/>
    <w:rsid w:val="3B6F7177"/>
    <w:rsid w:val="3B8D7030"/>
    <w:rsid w:val="3C24085A"/>
    <w:rsid w:val="3C617F89"/>
    <w:rsid w:val="3C6915BF"/>
    <w:rsid w:val="3CD1736B"/>
    <w:rsid w:val="3D7306A2"/>
    <w:rsid w:val="3DA355C8"/>
    <w:rsid w:val="3DE2198A"/>
    <w:rsid w:val="3DF13667"/>
    <w:rsid w:val="3E571AFA"/>
    <w:rsid w:val="3EAA19B4"/>
    <w:rsid w:val="3F3E727C"/>
    <w:rsid w:val="3F4C34E8"/>
    <w:rsid w:val="3F823398"/>
    <w:rsid w:val="3F8C5449"/>
    <w:rsid w:val="3FD70C7D"/>
    <w:rsid w:val="3FE30768"/>
    <w:rsid w:val="40057DB9"/>
    <w:rsid w:val="4044420D"/>
    <w:rsid w:val="405C406C"/>
    <w:rsid w:val="417B1521"/>
    <w:rsid w:val="418A5063"/>
    <w:rsid w:val="41D151ED"/>
    <w:rsid w:val="42E62C82"/>
    <w:rsid w:val="42EA00BC"/>
    <w:rsid w:val="42F9588F"/>
    <w:rsid w:val="43230BC4"/>
    <w:rsid w:val="435F0004"/>
    <w:rsid w:val="439F1880"/>
    <w:rsid w:val="43B71D0B"/>
    <w:rsid w:val="43E52B51"/>
    <w:rsid w:val="448D0C6C"/>
    <w:rsid w:val="4620701A"/>
    <w:rsid w:val="463224C9"/>
    <w:rsid w:val="46414956"/>
    <w:rsid w:val="464B0838"/>
    <w:rsid w:val="468B4A57"/>
    <w:rsid w:val="46FA6EF7"/>
    <w:rsid w:val="47142F2A"/>
    <w:rsid w:val="472C1E1C"/>
    <w:rsid w:val="475715B5"/>
    <w:rsid w:val="47D8755A"/>
    <w:rsid w:val="48164FC0"/>
    <w:rsid w:val="495556B1"/>
    <w:rsid w:val="4A2F16E9"/>
    <w:rsid w:val="4A504460"/>
    <w:rsid w:val="4ADF1BF0"/>
    <w:rsid w:val="4AEA4397"/>
    <w:rsid w:val="4B527E0E"/>
    <w:rsid w:val="4BF90E6D"/>
    <w:rsid w:val="4BFA1F4A"/>
    <w:rsid w:val="4BFE4E2A"/>
    <w:rsid w:val="4C407AD6"/>
    <w:rsid w:val="4C7C0540"/>
    <w:rsid w:val="4C8111F5"/>
    <w:rsid w:val="4C8F0D63"/>
    <w:rsid w:val="4D00146B"/>
    <w:rsid w:val="4D4C19C7"/>
    <w:rsid w:val="4D560473"/>
    <w:rsid w:val="4D5E30FA"/>
    <w:rsid w:val="4E040FA2"/>
    <w:rsid w:val="4E0E290A"/>
    <w:rsid w:val="4E11310D"/>
    <w:rsid w:val="4E2232FF"/>
    <w:rsid w:val="4E3D49EE"/>
    <w:rsid w:val="4E522F34"/>
    <w:rsid w:val="4E6F79E0"/>
    <w:rsid w:val="4EB76768"/>
    <w:rsid w:val="4EDD0E1D"/>
    <w:rsid w:val="4EFD1D16"/>
    <w:rsid w:val="4FAF2876"/>
    <w:rsid w:val="50781CE8"/>
    <w:rsid w:val="508D1E16"/>
    <w:rsid w:val="50A13B76"/>
    <w:rsid w:val="50AF48CE"/>
    <w:rsid w:val="517C5865"/>
    <w:rsid w:val="51C641B1"/>
    <w:rsid w:val="522068AA"/>
    <w:rsid w:val="529A14AF"/>
    <w:rsid w:val="53092AB8"/>
    <w:rsid w:val="532D4F26"/>
    <w:rsid w:val="538562AD"/>
    <w:rsid w:val="53AE5532"/>
    <w:rsid w:val="53C54037"/>
    <w:rsid w:val="53CA3B17"/>
    <w:rsid w:val="53D0530E"/>
    <w:rsid w:val="54015FA1"/>
    <w:rsid w:val="5416152E"/>
    <w:rsid w:val="54965D72"/>
    <w:rsid w:val="54EC0780"/>
    <w:rsid w:val="55185C95"/>
    <w:rsid w:val="55C07E86"/>
    <w:rsid w:val="567D77C9"/>
    <w:rsid w:val="572D55B6"/>
    <w:rsid w:val="573351AA"/>
    <w:rsid w:val="575047FF"/>
    <w:rsid w:val="585B5088"/>
    <w:rsid w:val="587F1546"/>
    <w:rsid w:val="589B28D8"/>
    <w:rsid w:val="591506EC"/>
    <w:rsid w:val="591641CE"/>
    <w:rsid w:val="595D18D9"/>
    <w:rsid w:val="596A0B88"/>
    <w:rsid w:val="598A1562"/>
    <w:rsid w:val="59B921D0"/>
    <w:rsid w:val="59C44858"/>
    <w:rsid w:val="5A642868"/>
    <w:rsid w:val="5A79672E"/>
    <w:rsid w:val="5AAA2344"/>
    <w:rsid w:val="5AD476D7"/>
    <w:rsid w:val="5AF628B1"/>
    <w:rsid w:val="5B08726D"/>
    <w:rsid w:val="5BAB61BC"/>
    <w:rsid w:val="5BD429F2"/>
    <w:rsid w:val="5C5404CF"/>
    <w:rsid w:val="5D115F01"/>
    <w:rsid w:val="5DA00040"/>
    <w:rsid w:val="5DBC6C98"/>
    <w:rsid w:val="5DDD59A3"/>
    <w:rsid w:val="5E2A3A03"/>
    <w:rsid w:val="5E40199C"/>
    <w:rsid w:val="5F3F7E02"/>
    <w:rsid w:val="5F720CE6"/>
    <w:rsid w:val="5F89726D"/>
    <w:rsid w:val="5FA70442"/>
    <w:rsid w:val="6013269F"/>
    <w:rsid w:val="601C2D42"/>
    <w:rsid w:val="60544474"/>
    <w:rsid w:val="60DB1D20"/>
    <w:rsid w:val="60E66BE2"/>
    <w:rsid w:val="60FF3CF8"/>
    <w:rsid w:val="61480BED"/>
    <w:rsid w:val="61770041"/>
    <w:rsid w:val="62160680"/>
    <w:rsid w:val="622A67C6"/>
    <w:rsid w:val="62882294"/>
    <w:rsid w:val="62C35102"/>
    <w:rsid w:val="630C3B4D"/>
    <w:rsid w:val="635A0101"/>
    <w:rsid w:val="638B6C97"/>
    <w:rsid w:val="63A92296"/>
    <w:rsid w:val="63C74221"/>
    <w:rsid w:val="63C75149"/>
    <w:rsid w:val="63FE15F6"/>
    <w:rsid w:val="640A5A6F"/>
    <w:rsid w:val="643550F6"/>
    <w:rsid w:val="64A438DF"/>
    <w:rsid w:val="64B266D4"/>
    <w:rsid w:val="64BF00FD"/>
    <w:rsid w:val="65136ACB"/>
    <w:rsid w:val="656369D4"/>
    <w:rsid w:val="65C7741A"/>
    <w:rsid w:val="66794547"/>
    <w:rsid w:val="66F06EB3"/>
    <w:rsid w:val="670A4289"/>
    <w:rsid w:val="6734315A"/>
    <w:rsid w:val="6745376B"/>
    <w:rsid w:val="67AD201B"/>
    <w:rsid w:val="67C14995"/>
    <w:rsid w:val="68125BF6"/>
    <w:rsid w:val="683B5430"/>
    <w:rsid w:val="688C74C1"/>
    <w:rsid w:val="68E70AD5"/>
    <w:rsid w:val="68F37DD0"/>
    <w:rsid w:val="69B71E50"/>
    <w:rsid w:val="69B96D15"/>
    <w:rsid w:val="69EA7586"/>
    <w:rsid w:val="6A5B383F"/>
    <w:rsid w:val="6A745E47"/>
    <w:rsid w:val="6AD26ABD"/>
    <w:rsid w:val="6BFC2F98"/>
    <w:rsid w:val="6C423ECC"/>
    <w:rsid w:val="6CC3099D"/>
    <w:rsid w:val="6CFF2C27"/>
    <w:rsid w:val="6D025FAA"/>
    <w:rsid w:val="6D245CE5"/>
    <w:rsid w:val="6D2F791F"/>
    <w:rsid w:val="6D4B0985"/>
    <w:rsid w:val="6D651DFC"/>
    <w:rsid w:val="6DBD1CA3"/>
    <w:rsid w:val="6E266ACA"/>
    <w:rsid w:val="6E337BE7"/>
    <w:rsid w:val="6E9731AF"/>
    <w:rsid w:val="6EA20F09"/>
    <w:rsid w:val="6EB53B48"/>
    <w:rsid w:val="6F104E9F"/>
    <w:rsid w:val="6FB51968"/>
    <w:rsid w:val="6FD80DD5"/>
    <w:rsid w:val="703555D1"/>
    <w:rsid w:val="70425F6F"/>
    <w:rsid w:val="706C1982"/>
    <w:rsid w:val="70B019FB"/>
    <w:rsid w:val="713E7402"/>
    <w:rsid w:val="71910D60"/>
    <w:rsid w:val="725A633F"/>
    <w:rsid w:val="72E01731"/>
    <w:rsid w:val="733945A6"/>
    <w:rsid w:val="7356751A"/>
    <w:rsid w:val="73740D4E"/>
    <w:rsid w:val="73CA4B46"/>
    <w:rsid w:val="73DB76F9"/>
    <w:rsid w:val="743D7FC3"/>
    <w:rsid w:val="745364FE"/>
    <w:rsid w:val="746B6B6D"/>
    <w:rsid w:val="74836447"/>
    <w:rsid w:val="74D66A63"/>
    <w:rsid w:val="757926B5"/>
    <w:rsid w:val="75A5604C"/>
    <w:rsid w:val="75E57179"/>
    <w:rsid w:val="75FF18D7"/>
    <w:rsid w:val="763C311B"/>
    <w:rsid w:val="76CE1C4B"/>
    <w:rsid w:val="774F4EF0"/>
    <w:rsid w:val="778A085E"/>
    <w:rsid w:val="77E6158C"/>
    <w:rsid w:val="77F9337D"/>
    <w:rsid w:val="78691D59"/>
    <w:rsid w:val="787F4632"/>
    <w:rsid w:val="79120DC0"/>
    <w:rsid w:val="7933114F"/>
    <w:rsid w:val="79987ED6"/>
    <w:rsid w:val="79A652AC"/>
    <w:rsid w:val="7A12506C"/>
    <w:rsid w:val="7A1C1B44"/>
    <w:rsid w:val="7A1D6FF0"/>
    <w:rsid w:val="7A4363DC"/>
    <w:rsid w:val="7AEE6FA9"/>
    <w:rsid w:val="7B2F6BE0"/>
    <w:rsid w:val="7BA62878"/>
    <w:rsid w:val="7BB51367"/>
    <w:rsid w:val="7C8F3F98"/>
    <w:rsid w:val="7CF64984"/>
    <w:rsid w:val="7D3727CD"/>
    <w:rsid w:val="7D4A6877"/>
    <w:rsid w:val="7D7F311D"/>
    <w:rsid w:val="7D9F5215"/>
    <w:rsid w:val="7DF02643"/>
    <w:rsid w:val="7E0E7F8A"/>
    <w:rsid w:val="7E53135A"/>
    <w:rsid w:val="7E5E2F01"/>
    <w:rsid w:val="7EB631FA"/>
    <w:rsid w:val="7F5F1E56"/>
    <w:rsid w:val="7FD12296"/>
    <w:rsid w:val="7FFD3B1C"/>
    <w:rsid w:val="7FFE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E4757D"/>
  <w15:docId w15:val="{6A4E39A3-649D-42EF-97CD-6794AF91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Naslov2">
    <w:name w:val="heading 2"/>
    <w:basedOn w:val="Normal"/>
    <w:next w:val="Normal"/>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pPr>
      <w:suppressAutoHyphens/>
      <w:spacing w:after="120"/>
    </w:pPr>
    <w:rPr>
      <w:lang w:eastAsia="ar-SA"/>
    </w:rPr>
  </w:style>
  <w:style w:type="paragraph" w:styleId="Podnoje">
    <w:name w:val="footer"/>
    <w:basedOn w:val="Normal"/>
    <w:uiPriority w:val="99"/>
    <w:unhideWhenUsed/>
    <w:qFormat/>
    <w:pPr>
      <w:tabs>
        <w:tab w:val="center" w:pos="4536"/>
        <w:tab w:val="right" w:pos="9072"/>
      </w:tabs>
      <w:spacing w:after="0" w:line="240" w:lineRule="auto"/>
    </w:pPr>
  </w:style>
  <w:style w:type="paragraph" w:styleId="Zaglavlje">
    <w:name w:val="header"/>
    <w:basedOn w:val="Normal"/>
    <w:link w:val="ZaglavljeChar"/>
    <w:uiPriority w:val="99"/>
    <w:qFormat/>
    <w:pPr>
      <w:tabs>
        <w:tab w:val="center" w:pos="4153"/>
        <w:tab w:val="right" w:pos="8306"/>
      </w:tabs>
    </w:pPr>
  </w:style>
  <w:style w:type="character" w:styleId="Hiperveza">
    <w:name w:val="Hyperlink"/>
    <w:basedOn w:val="Zadanifontodlomka"/>
    <w:qFormat/>
    <w:rPr>
      <w:color w:val="0000FF"/>
      <w:u w:val="single"/>
    </w:rPr>
  </w:style>
  <w:style w:type="paragraph" w:styleId="Naslov">
    <w:name w:val="Title"/>
    <w:basedOn w:val="Normal"/>
    <w:qFormat/>
    <w:rPr>
      <w:rFonts w:ascii="Times New Roman" w:hAnsi="Times New Roman"/>
      <w:b/>
      <w:bCs/>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customStyle="1" w:styleId="pt-odlomakpopisa1">
    <w:name w:val="pt-odlomakpopisa1"/>
    <w:basedOn w:val="Normal"/>
    <w:qFormat/>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8">
    <w:name w:val="pt-defaultparagraphfont-000008"/>
    <w:basedOn w:val="Zadanifontodlomka"/>
    <w:qFormat/>
  </w:style>
  <w:style w:type="paragraph" w:styleId="Odlomakpopisa">
    <w:name w:val="List Paragraph"/>
    <w:aliases w:val="Heading 12"/>
    <w:basedOn w:val="Normal"/>
    <w:link w:val="OdlomakpopisaChar"/>
    <w:uiPriority w:val="34"/>
    <w:qFormat/>
    <w:pPr>
      <w:ind w:left="720"/>
      <w:contextualSpacing/>
    </w:pPr>
  </w:style>
  <w:style w:type="table" w:customStyle="1" w:styleId="Obinatablica1">
    <w:name w:val="Obična tablica1"/>
    <w:semiHidden/>
    <w:qFormat/>
    <w:pPr>
      <w:spacing w:after="160" w:line="256" w:lineRule="auto"/>
    </w:pPr>
    <w:rPr>
      <w:rFonts w:ascii="Calibri" w:hAnsi="Calibri" w:cs="Calibri"/>
      <w:sz w:val="22"/>
      <w:szCs w:val="22"/>
    </w:rPr>
    <w:tblPr>
      <w:tblCellMar>
        <w:top w:w="0" w:type="dxa"/>
        <w:left w:w="100" w:type="dxa"/>
        <w:bottom w:w="0" w:type="dxa"/>
        <w:right w:w="100" w:type="dxa"/>
      </w:tblCellMar>
    </w:tblPr>
  </w:style>
  <w:style w:type="paragraph" w:customStyle="1" w:styleId="tekst">
    <w:name w:val="tekst"/>
    <w:basedOn w:val="Normal"/>
    <w:uiPriority w:val="6"/>
    <w:qFormat/>
    <w:pPr>
      <w:suppressAutoHyphens/>
      <w:spacing w:before="280" w:after="280"/>
    </w:pPr>
    <w:rPr>
      <w:rFonts w:ascii="Times New Roman" w:eastAsia="Times New Roman" w:hAnsi="Times New Roman" w:cs="Times New Roman"/>
      <w:sz w:val="24"/>
      <w:szCs w:val="24"/>
      <w:lang w:eastAsia="zh-CN"/>
    </w:rPr>
  </w:style>
  <w:style w:type="paragraph" w:styleId="Tekstbalonia">
    <w:name w:val="Balloon Text"/>
    <w:basedOn w:val="Normal"/>
    <w:link w:val="TekstbaloniaChar"/>
    <w:rsid w:val="005258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rsid w:val="005258DC"/>
    <w:rPr>
      <w:rFonts w:ascii="Segoe UI" w:eastAsiaTheme="minorHAnsi" w:hAnsi="Segoe UI" w:cs="Segoe UI"/>
      <w:sz w:val="18"/>
      <w:szCs w:val="18"/>
      <w:lang w:eastAsia="en-US"/>
    </w:rPr>
  </w:style>
  <w:style w:type="table" w:styleId="Reetkatablice">
    <w:name w:val="Table Grid"/>
    <w:basedOn w:val="Obinatablica"/>
    <w:rsid w:val="00F4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
    <w:link w:val="Odlomakpopisa"/>
    <w:uiPriority w:val="34"/>
    <w:locked/>
    <w:rsid w:val="00BD2236"/>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qFormat/>
    <w:rsid w:val="00A961E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9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czr-veruda.h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dczr@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zr-veruda.hr" TargetMode="External"/><Relationship Id="rId5" Type="http://schemas.openxmlformats.org/officeDocument/2006/relationships/settings" Target="settings.xml"/><Relationship Id="rId15" Type="http://schemas.openxmlformats.org/officeDocument/2006/relationships/hyperlink" Target="mailto:info.dczr@gmail.com" TargetMode="External"/><Relationship Id="rId10" Type="http://schemas.openxmlformats.org/officeDocument/2006/relationships/hyperlink" Target="mailto:info.dczr@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dczr@gmail.com" TargetMode="External"/><Relationship Id="rId14" Type="http://schemas.openxmlformats.org/officeDocument/2006/relationships/hyperlink" Target="mailto:info.dcz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A804B-B128-4C9B-9D32-C29E7405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14</Pages>
  <Words>3080</Words>
  <Characters>17558</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294</cp:revision>
  <cp:lastPrinted>2022-03-02T08:21:00Z</cp:lastPrinted>
  <dcterms:created xsi:type="dcterms:W3CDTF">2019-10-11T13:28:00Z</dcterms:created>
  <dcterms:modified xsi:type="dcterms:W3CDTF">2022-03-02T09:21:00Z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